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46A6" w14:textId="07F87EA2" w:rsidR="003C513C" w:rsidRPr="00EF4E54" w:rsidRDefault="00714A8A" w:rsidP="7A193011">
      <w:pPr>
        <w:jc w:val="center"/>
        <w:rPr>
          <w:b/>
          <w:bCs/>
          <w:sz w:val="22"/>
          <w:szCs w:val="22"/>
        </w:rPr>
      </w:pPr>
      <w:r w:rsidRPr="7A193011">
        <w:rPr>
          <w:b/>
          <w:bCs/>
          <w:sz w:val="22"/>
          <w:szCs w:val="22"/>
        </w:rPr>
        <w:t xml:space="preserve">Terms of Reference: </w:t>
      </w:r>
      <w:r w:rsidR="003C513C">
        <w:br/>
      </w:r>
      <w:r w:rsidR="00E3339D">
        <w:rPr>
          <w:b/>
          <w:bCs/>
          <w:sz w:val="22"/>
          <w:szCs w:val="22"/>
        </w:rPr>
        <w:t xml:space="preserve">BIOT Migrant MOU </w:t>
      </w:r>
      <w:r w:rsidR="008C0604">
        <w:rPr>
          <w:b/>
          <w:bCs/>
          <w:sz w:val="22"/>
          <w:szCs w:val="22"/>
        </w:rPr>
        <w:t>– St Helena Preparedness Project Manager</w:t>
      </w:r>
      <w:r w:rsidR="001521DD" w:rsidRPr="7A193011">
        <w:rPr>
          <w:b/>
          <w:bCs/>
          <w:sz w:val="22"/>
          <w:szCs w:val="22"/>
        </w:rPr>
        <w:t xml:space="preserve"> </w:t>
      </w:r>
    </w:p>
    <w:p w14:paraId="72E0A6DD" w14:textId="44D370B5" w:rsidR="003C513C" w:rsidRPr="00EF4E54" w:rsidRDefault="003C513C" w:rsidP="7A193011">
      <w:pPr>
        <w:rPr>
          <w:b/>
          <w:bCs/>
          <w:sz w:val="22"/>
          <w:szCs w:val="22"/>
        </w:rPr>
      </w:pPr>
    </w:p>
    <w:p w14:paraId="6DD4D10D" w14:textId="33A9376A" w:rsidR="003C513C" w:rsidRDefault="003C513C" w:rsidP="7A193011">
      <w:pPr>
        <w:rPr>
          <w:b/>
          <w:bCs/>
          <w:sz w:val="22"/>
          <w:szCs w:val="22"/>
        </w:rPr>
      </w:pPr>
      <w:r w:rsidRPr="7A193011">
        <w:rPr>
          <w:b/>
          <w:bCs/>
          <w:sz w:val="22"/>
          <w:szCs w:val="22"/>
        </w:rPr>
        <w:t xml:space="preserve">Background </w:t>
      </w:r>
    </w:p>
    <w:p w14:paraId="0E883AAE" w14:textId="7AEA2F4C" w:rsidR="00ED0622" w:rsidRPr="00D4382C" w:rsidRDefault="000F4021" w:rsidP="000F4021">
      <w:pPr>
        <w:spacing w:before="240" w:after="240"/>
        <w:rPr>
          <w:sz w:val="22"/>
          <w:szCs w:val="22"/>
        </w:rPr>
      </w:pPr>
      <w:r w:rsidRPr="00D4382C">
        <w:rPr>
          <w:sz w:val="22"/>
          <w:szCs w:val="22"/>
        </w:rPr>
        <w:t>The UK Government (UKG) and St Helena Government (SHG) have since October 2024, implemented a cooperation arrangement in relation to future migrants arriving on the British Indian Ocean Territory </w:t>
      </w:r>
      <w:r w:rsidRPr="00D4382C">
        <w:rPr>
          <w:b/>
          <w:bCs/>
          <w:sz w:val="22"/>
          <w:szCs w:val="22"/>
        </w:rPr>
        <w:t>(BIOT</w:t>
      </w:r>
      <w:r w:rsidRPr="00D4382C">
        <w:rPr>
          <w:sz w:val="22"/>
          <w:szCs w:val="22"/>
        </w:rPr>
        <w:t>). Under this arrangement, the UK will transfer future migrants who arrive on </w:t>
      </w:r>
      <w:r w:rsidRPr="00D4382C">
        <w:rPr>
          <w:b/>
          <w:bCs/>
          <w:sz w:val="22"/>
          <w:szCs w:val="22"/>
        </w:rPr>
        <w:t>BIOT</w:t>
      </w:r>
      <w:r w:rsidRPr="00D4382C">
        <w:rPr>
          <w:sz w:val="22"/>
          <w:szCs w:val="22"/>
        </w:rPr>
        <w:t xml:space="preserve"> to St Helena where SHG will assume responsibility for the migrants’ welfare. </w:t>
      </w:r>
    </w:p>
    <w:p w14:paraId="5288EE3E" w14:textId="31DCFBD3" w:rsidR="000F4021" w:rsidRPr="00D4382C" w:rsidRDefault="000F4021" w:rsidP="000F4021">
      <w:pPr>
        <w:spacing w:before="240" w:after="240"/>
        <w:rPr>
          <w:sz w:val="22"/>
          <w:szCs w:val="22"/>
        </w:rPr>
      </w:pPr>
      <w:r w:rsidRPr="00D4382C">
        <w:rPr>
          <w:sz w:val="22"/>
          <w:szCs w:val="22"/>
        </w:rPr>
        <w:t>SHG is now in the process of developing plans, including standard operating procedures, to facilitate this arrangement should it become necessary to do so.</w:t>
      </w:r>
      <w:r w:rsidR="00ED0622" w:rsidRPr="00D4382C">
        <w:rPr>
          <w:sz w:val="22"/>
          <w:szCs w:val="22"/>
        </w:rPr>
        <w:t xml:space="preserve"> SHG requires the services of a project manager to coordinate this preparatory work</w:t>
      </w:r>
      <w:r w:rsidRPr="00D4382C">
        <w:rPr>
          <w:sz w:val="22"/>
          <w:szCs w:val="22"/>
        </w:rPr>
        <w:t xml:space="preserve"> </w:t>
      </w:r>
      <w:r w:rsidR="00ED0622" w:rsidRPr="00D4382C">
        <w:rPr>
          <w:sz w:val="22"/>
          <w:szCs w:val="22"/>
        </w:rPr>
        <w:t xml:space="preserve">to ensure that the planning is completed at pace and to the standard required under the arrangement. </w:t>
      </w:r>
    </w:p>
    <w:p w14:paraId="30A63D35" w14:textId="2BBB69EF" w:rsidR="001E4B65" w:rsidRDefault="16AC863A" w:rsidP="7A193011">
      <w:pPr>
        <w:spacing w:before="240" w:after="240"/>
        <w:rPr>
          <w:rFonts w:eastAsia="Arial"/>
          <w:b/>
          <w:bCs/>
          <w:sz w:val="22"/>
          <w:szCs w:val="22"/>
        </w:rPr>
      </w:pPr>
      <w:r w:rsidRPr="001E7986">
        <w:rPr>
          <w:rFonts w:eastAsia="Arial"/>
          <w:b/>
          <w:bCs/>
          <w:sz w:val="22"/>
          <w:szCs w:val="22"/>
        </w:rPr>
        <w:t>Objective</w:t>
      </w:r>
    </w:p>
    <w:p w14:paraId="3A98C506" w14:textId="1B2C619F" w:rsidR="001E7986" w:rsidRPr="001E7986" w:rsidRDefault="001E7986" w:rsidP="7A193011">
      <w:p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To</w:t>
      </w:r>
      <w:r w:rsidR="00376C0A">
        <w:rPr>
          <w:rFonts w:eastAsia="Arial"/>
          <w:sz w:val="22"/>
          <w:szCs w:val="22"/>
        </w:rPr>
        <w:t xml:space="preserve"> </w:t>
      </w:r>
      <w:r w:rsidR="00061F32">
        <w:rPr>
          <w:rFonts w:eastAsia="Arial"/>
          <w:sz w:val="22"/>
          <w:szCs w:val="22"/>
        </w:rPr>
        <w:t>coordinate, plan and manage preparedness work following the signing of the BIOT Migrant MOU</w:t>
      </w:r>
      <w:r w:rsidR="00F677AE">
        <w:rPr>
          <w:rFonts w:eastAsia="Arial"/>
          <w:sz w:val="22"/>
          <w:szCs w:val="22"/>
        </w:rPr>
        <w:t xml:space="preserve"> to help all parties understand SHG’s ability to absorb migrants</w:t>
      </w:r>
      <w:r w:rsidR="000F2D76">
        <w:rPr>
          <w:rFonts w:eastAsia="Arial"/>
          <w:sz w:val="22"/>
          <w:szCs w:val="22"/>
        </w:rPr>
        <w:t xml:space="preserve"> including the risks involved and to ensure work towards readiness is enabled and </w:t>
      </w:r>
      <w:r w:rsidR="00A2582B">
        <w:rPr>
          <w:rFonts w:eastAsia="Arial"/>
          <w:sz w:val="22"/>
          <w:szCs w:val="22"/>
        </w:rPr>
        <w:t>progresses</w:t>
      </w:r>
      <w:r w:rsidR="000F2D76">
        <w:rPr>
          <w:rFonts w:eastAsia="Arial"/>
          <w:sz w:val="22"/>
          <w:szCs w:val="22"/>
        </w:rPr>
        <w:t xml:space="preserve"> at pace.</w:t>
      </w:r>
    </w:p>
    <w:p w14:paraId="2270F8F5" w14:textId="0947EEA4" w:rsidR="001E7986" w:rsidRDefault="09E469D2" w:rsidP="00BE2E74">
      <w:pPr>
        <w:spacing w:before="240" w:after="240"/>
        <w:rPr>
          <w:rFonts w:eastAsia="Arial"/>
          <w:sz w:val="22"/>
          <w:szCs w:val="22"/>
        </w:rPr>
      </w:pPr>
      <w:r w:rsidRPr="001E7986">
        <w:rPr>
          <w:rFonts w:eastAsia="Arial"/>
          <w:b/>
          <w:bCs/>
          <w:sz w:val="22"/>
          <w:szCs w:val="22"/>
        </w:rPr>
        <w:t>Scope of work</w:t>
      </w:r>
      <w:r w:rsidRPr="7A193011">
        <w:rPr>
          <w:rFonts w:eastAsia="Arial"/>
          <w:sz w:val="22"/>
          <w:szCs w:val="22"/>
        </w:rPr>
        <w:t xml:space="preserve"> </w:t>
      </w:r>
    </w:p>
    <w:p w14:paraId="08A8581B" w14:textId="51B4DC37" w:rsidR="001E4B65" w:rsidRDefault="59635B7C" w:rsidP="00BE2E74">
      <w:pPr>
        <w:spacing w:before="240" w:after="240"/>
        <w:rPr>
          <w:rFonts w:eastAsia="Arial"/>
          <w:sz w:val="22"/>
          <w:szCs w:val="22"/>
        </w:rPr>
      </w:pPr>
      <w:r w:rsidRPr="7A193011">
        <w:rPr>
          <w:rFonts w:eastAsia="Arial"/>
          <w:sz w:val="22"/>
          <w:szCs w:val="22"/>
        </w:rPr>
        <w:t>The</w:t>
      </w:r>
      <w:r w:rsidR="3C7F9487" w:rsidRPr="7A193011">
        <w:rPr>
          <w:rFonts w:eastAsia="Arial"/>
          <w:sz w:val="22"/>
          <w:szCs w:val="22"/>
        </w:rPr>
        <w:t xml:space="preserve"> </w:t>
      </w:r>
      <w:r w:rsidR="00AF35C2">
        <w:rPr>
          <w:rFonts w:eastAsia="Arial"/>
          <w:sz w:val="22"/>
          <w:szCs w:val="22"/>
        </w:rPr>
        <w:t>project manager</w:t>
      </w:r>
      <w:r w:rsidRPr="7A193011">
        <w:rPr>
          <w:rFonts w:eastAsia="Arial"/>
          <w:sz w:val="22"/>
          <w:szCs w:val="22"/>
        </w:rPr>
        <w:t xml:space="preserve"> will </w:t>
      </w:r>
      <w:r w:rsidR="009F49D5">
        <w:rPr>
          <w:rFonts w:eastAsia="Arial"/>
          <w:sz w:val="22"/>
          <w:szCs w:val="22"/>
        </w:rPr>
        <w:t xml:space="preserve">work across SHG and with UKG </w:t>
      </w:r>
      <w:r w:rsidR="3DFBF485" w:rsidRPr="7A193011">
        <w:rPr>
          <w:rFonts w:eastAsia="Arial"/>
          <w:sz w:val="22"/>
          <w:szCs w:val="22"/>
        </w:rPr>
        <w:t xml:space="preserve">with the aim to </w:t>
      </w:r>
      <w:r w:rsidRPr="7A193011">
        <w:rPr>
          <w:rFonts w:eastAsia="Arial"/>
          <w:sz w:val="22"/>
          <w:szCs w:val="22"/>
        </w:rPr>
        <w:t>ensure that:</w:t>
      </w:r>
    </w:p>
    <w:p w14:paraId="5F01E57D" w14:textId="118CCA24" w:rsidR="00A2582B" w:rsidRDefault="00A2582B" w:rsidP="00A2582B">
      <w:pPr>
        <w:pStyle w:val="ListParagraph"/>
        <w:numPr>
          <w:ilvl w:val="0"/>
          <w:numId w:val="9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All stakeholders are informed and engaged as required;</w:t>
      </w:r>
    </w:p>
    <w:p w14:paraId="125E23D1" w14:textId="07CE8A31" w:rsidR="00A2582B" w:rsidRDefault="00CE2C45" w:rsidP="00A2582B">
      <w:pPr>
        <w:pStyle w:val="ListParagraph"/>
        <w:numPr>
          <w:ilvl w:val="0"/>
          <w:numId w:val="9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Project activity, risk and finances are clearly set out, monitored and </w:t>
      </w:r>
      <w:r w:rsidR="009B1CFB">
        <w:rPr>
          <w:rFonts w:eastAsia="Arial"/>
          <w:sz w:val="22"/>
          <w:szCs w:val="22"/>
        </w:rPr>
        <w:t>progressed;</w:t>
      </w:r>
    </w:p>
    <w:p w14:paraId="008BF1C2" w14:textId="40547AF8" w:rsidR="009B1CFB" w:rsidRDefault="00BA72B8" w:rsidP="00A2582B">
      <w:pPr>
        <w:pStyle w:val="ListParagraph"/>
        <w:numPr>
          <w:ilvl w:val="0"/>
          <w:numId w:val="9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SHG works as quickly as possible towards a state of readiness for potential migrants in line with MOU;</w:t>
      </w:r>
    </w:p>
    <w:p w14:paraId="50D170DF" w14:textId="6E1489DE" w:rsidR="00BA72B8" w:rsidRDefault="00A4477A" w:rsidP="00A2582B">
      <w:pPr>
        <w:pStyle w:val="ListParagraph"/>
        <w:numPr>
          <w:ilvl w:val="0"/>
          <w:numId w:val="9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Risks and limitations are understood and set out with mitigations where possible.</w:t>
      </w:r>
    </w:p>
    <w:p w14:paraId="23EEE942" w14:textId="37758CCD" w:rsidR="00A4477A" w:rsidRDefault="00A4477A" w:rsidP="00A4477A">
      <w:p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The following will be out of scope (although may need to be considered):</w:t>
      </w:r>
    </w:p>
    <w:p w14:paraId="38488FDB" w14:textId="3ED8BFBB" w:rsidR="00A4477A" w:rsidRDefault="00624195" w:rsidP="00A4477A">
      <w:pPr>
        <w:pStyle w:val="ListParagraph"/>
        <w:numPr>
          <w:ilvl w:val="0"/>
          <w:numId w:val="10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Delivery of implementation plans (this role is only about preparedness not actual response);</w:t>
      </w:r>
    </w:p>
    <w:p w14:paraId="48269FC8" w14:textId="73B46704" w:rsidR="00624195" w:rsidRDefault="00907A2D" w:rsidP="00A4477A">
      <w:pPr>
        <w:pStyle w:val="ListParagraph"/>
        <w:numPr>
          <w:ilvl w:val="0"/>
          <w:numId w:val="10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Delivery of specialist activity lines (this role should ensure specialists are engaged and delivering on key lines of activity and should </w:t>
      </w:r>
      <w:r w:rsidR="006066E7">
        <w:rPr>
          <w:rFonts w:eastAsia="Arial"/>
          <w:sz w:val="22"/>
          <w:szCs w:val="22"/>
        </w:rPr>
        <w:t xml:space="preserve">oversee that progress but is not expected to </w:t>
      </w:r>
      <w:r w:rsidR="009B0346">
        <w:rPr>
          <w:rFonts w:eastAsia="Arial"/>
          <w:sz w:val="22"/>
          <w:szCs w:val="22"/>
        </w:rPr>
        <w:t xml:space="preserve">personally </w:t>
      </w:r>
      <w:r w:rsidR="006066E7">
        <w:rPr>
          <w:rFonts w:eastAsia="Arial"/>
          <w:sz w:val="22"/>
          <w:szCs w:val="22"/>
        </w:rPr>
        <w:t xml:space="preserve">deliver outside of project management </w:t>
      </w:r>
      <w:r w:rsidR="009B0346">
        <w:rPr>
          <w:rFonts w:eastAsia="Arial"/>
          <w:sz w:val="22"/>
          <w:szCs w:val="22"/>
        </w:rPr>
        <w:t>deliverables);</w:t>
      </w:r>
    </w:p>
    <w:p w14:paraId="53600B17" w14:textId="455AD974" w:rsidR="009B0346" w:rsidRDefault="00CC5E98" w:rsidP="00A4477A">
      <w:pPr>
        <w:pStyle w:val="ListParagraph"/>
        <w:numPr>
          <w:ilvl w:val="0"/>
          <w:numId w:val="10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Responsibility for preparedness delivery outside of St Helena (this role will work with UKG and BIOTA </w:t>
      </w:r>
      <w:r w:rsidR="00AA74C7">
        <w:rPr>
          <w:rFonts w:eastAsia="Arial"/>
          <w:sz w:val="22"/>
          <w:szCs w:val="22"/>
        </w:rPr>
        <w:t>and monitor associated risks</w:t>
      </w:r>
      <w:r w:rsidR="00EE59A3">
        <w:rPr>
          <w:rFonts w:eastAsia="Arial"/>
          <w:sz w:val="22"/>
          <w:szCs w:val="22"/>
        </w:rPr>
        <w:t xml:space="preserve"> and progress </w:t>
      </w:r>
      <w:r>
        <w:rPr>
          <w:rFonts w:eastAsia="Arial"/>
          <w:sz w:val="22"/>
          <w:szCs w:val="22"/>
        </w:rPr>
        <w:t xml:space="preserve">but </w:t>
      </w:r>
      <w:r w:rsidR="00AA74C7">
        <w:rPr>
          <w:rFonts w:eastAsia="Arial"/>
          <w:sz w:val="22"/>
          <w:szCs w:val="22"/>
        </w:rPr>
        <w:t>is not responsible for their deliverables)</w:t>
      </w:r>
      <w:r w:rsidR="00E04A11">
        <w:rPr>
          <w:rFonts w:eastAsia="Arial"/>
          <w:sz w:val="22"/>
          <w:szCs w:val="22"/>
        </w:rPr>
        <w:t>;</w:t>
      </w:r>
    </w:p>
    <w:p w14:paraId="61CC4415" w14:textId="10279837" w:rsidR="00E04A11" w:rsidRPr="00A4477A" w:rsidRDefault="00E04A11" w:rsidP="00A4477A">
      <w:pPr>
        <w:pStyle w:val="ListParagraph"/>
        <w:numPr>
          <w:ilvl w:val="0"/>
          <w:numId w:val="10"/>
        </w:numPr>
        <w:spacing w:before="240" w:after="2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Political engagement (this role will inform </w:t>
      </w:r>
      <w:r w:rsidR="00A027CC">
        <w:rPr>
          <w:rFonts w:eastAsia="Arial"/>
          <w:sz w:val="22"/>
          <w:szCs w:val="22"/>
        </w:rPr>
        <w:t>policy leads who will take forward senior and political engagement).</w:t>
      </w:r>
    </w:p>
    <w:p w14:paraId="577CE526" w14:textId="41CA5761" w:rsidR="001E4B65" w:rsidRPr="00444EF1" w:rsidRDefault="19AF90C6" w:rsidP="3D174FDF">
      <w:pPr>
        <w:spacing w:after="0"/>
        <w:rPr>
          <w:rFonts w:eastAsia="Arial"/>
          <w:sz w:val="22"/>
          <w:szCs w:val="22"/>
          <w:u w:val="single"/>
        </w:rPr>
      </w:pPr>
      <w:r w:rsidRPr="001E7986">
        <w:rPr>
          <w:rFonts w:eastAsia="Arial"/>
          <w:b/>
          <w:bCs/>
          <w:sz w:val="22"/>
          <w:szCs w:val="22"/>
        </w:rPr>
        <w:t>Deliverables</w:t>
      </w:r>
    </w:p>
    <w:p w14:paraId="3349E652" w14:textId="65E5DC4C" w:rsidR="001E4B65" w:rsidRPr="00444EF1" w:rsidRDefault="001E4B65" w:rsidP="3D174FDF">
      <w:pPr>
        <w:spacing w:after="0"/>
        <w:rPr>
          <w:rFonts w:eastAsia="Arial"/>
          <w:b/>
          <w:bCs/>
          <w:i/>
          <w:iCs/>
          <w:sz w:val="22"/>
          <w:szCs w:val="22"/>
        </w:rPr>
      </w:pPr>
    </w:p>
    <w:p w14:paraId="79DB51A4" w14:textId="0FF33804" w:rsidR="001E4B65" w:rsidRDefault="093D49EA" w:rsidP="00BE2E74">
      <w:pPr>
        <w:spacing w:after="0"/>
        <w:rPr>
          <w:rFonts w:eastAsia="Arial"/>
          <w:sz w:val="22"/>
          <w:szCs w:val="22"/>
        </w:rPr>
      </w:pPr>
      <w:r w:rsidRPr="3D174FDF">
        <w:rPr>
          <w:rFonts w:eastAsia="Arial"/>
          <w:sz w:val="22"/>
          <w:szCs w:val="22"/>
        </w:rPr>
        <w:t xml:space="preserve">The </w:t>
      </w:r>
      <w:r w:rsidR="00BE2E74">
        <w:rPr>
          <w:rFonts w:eastAsia="Arial"/>
          <w:sz w:val="22"/>
          <w:szCs w:val="22"/>
        </w:rPr>
        <w:t>project manager</w:t>
      </w:r>
      <w:r w:rsidRPr="3D174FDF">
        <w:rPr>
          <w:rFonts w:eastAsia="Arial"/>
          <w:sz w:val="22"/>
          <w:szCs w:val="22"/>
        </w:rPr>
        <w:t xml:space="preserve"> will: </w:t>
      </w:r>
    </w:p>
    <w:p w14:paraId="62206B2C" w14:textId="77777777" w:rsidR="00D85062" w:rsidRDefault="00D85062" w:rsidP="00BE2E74">
      <w:pPr>
        <w:spacing w:after="0"/>
        <w:rPr>
          <w:rFonts w:eastAsia="Arial"/>
          <w:sz w:val="22"/>
          <w:szCs w:val="22"/>
        </w:rPr>
      </w:pPr>
    </w:p>
    <w:p w14:paraId="285DA7D0" w14:textId="0D74E996" w:rsidR="00D85062" w:rsidRDefault="00570920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>Take forward management of the project working group</w:t>
      </w:r>
      <w:r w:rsidR="00D823F6">
        <w:rPr>
          <w:rFonts w:eastAsia="Arial"/>
          <w:sz w:val="22"/>
          <w:szCs w:val="22"/>
        </w:rPr>
        <w:t xml:space="preserve"> including setting up future meetings, taking minutes and following up on actions;</w:t>
      </w:r>
    </w:p>
    <w:p w14:paraId="69FB344C" w14:textId="778084F8" w:rsidR="00D823F6" w:rsidRDefault="004056C3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Create a Preparedness Project Plan </w:t>
      </w:r>
      <w:r w:rsidR="00E67B95">
        <w:rPr>
          <w:rFonts w:eastAsia="Arial"/>
          <w:sz w:val="22"/>
          <w:szCs w:val="22"/>
        </w:rPr>
        <w:t>pulling together all existing resources and working with stakeholders</w:t>
      </w:r>
      <w:r w:rsidR="00DE4F82">
        <w:rPr>
          <w:rFonts w:eastAsia="Arial"/>
          <w:sz w:val="22"/>
          <w:szCs w:val="22"/>
        </w:rPr>
        <w:t xml:space="preserve"> (SHG and UKG)</w:t>
      </w:r>
      <w:r w:rsidR="00E67B95">
        <w:rPr>
          <w:rFonts w:eastAsia="Arial"/>
          <w:sz w:val="22"/>
          <w:szCs w:val="22"/>
        </w:rPr>
        <w:t xml:space="preserve"> to understand thinking and outcomes to date as well as </w:t>
      </w:r>
      <w:r w:rsidR="00E958A7">
        <w:rPr>
          <w:rFonts w:eastAsia="Arial"/>
          <w:sz w:val="22"/>
          <w:szCs w:val="22"/>
        </w:rPr>
        <w:t>requirements and considerations for outstanding activity;</w:t>
      </w:r>
    </w:p>
    <w:p w14:paraId="321D4BFC" w14:textId="5828D895" w:rsidR="00E958A7" w:rsidRDefault="00E958A7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Draw on conversations and research to identify and fill any gaps in Plan;</w:t>
      </w:r>
    </w:p>
    <w:p w14:paraId="0906E97F" w14:textId="59489C56" w:rsidR="00500843" w:rsidRDefault="00500843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Create Budget and Risk Management </w:t>
      </w:r>
      <w:r w:rsidR="003E544B">
        <w:rPr>
          <w:rFonts w:eastAsia="Arial"/>
          <w:sz w:val="22"/>
          <w:szCs w:val="22"/>
        </w:rPr>
        <w:t>trackers</w:t>
      </w:r>
      <w:r>
        <w:rPr>
          <w:rFonts w:eastAsia="Arial"/>
          <w:sz w:val="22"/>
          <w:szCs w:val="22"/>
        </w:rPr>
        <w:t xml:space="preserve"> to accompany delivery Plan;</w:t>
      </w:r>
    </w:p>
    <w:p w14:paraId="3A86A65B" w14:textId="44DC9D53" w:rsidR="00E958A7" w:rsidRDefault="00087197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Review and agree</w:t>
      </w:r>
      <w:r w:rsidR="00E958A7">
        <w:rPr>
          <w:rFonts w:eastAsia="Arial"/>
          <w:sz w:val="22"/>
          <w:szCs w:val="22"/>
        </w:rPr>
        <w:t xml:space="preserve"> Plan with Chief Secretary sign off by </w:t>
      </w:r>
      <w:r>
        <w:rPr>
          <w:rFonts w:eastAsia="Arial"/>
          <w:sz w:val="22"/>
          <w:szCs w:val="22"/>
        </w:rPr>
        <w:t>mid December</w:t>
      </w:r>
      <w:r w:rsidR="006A5300">
        <w:rPr>
          <w:rFonts w:eastAsia="Arial"/>
          <w:sz w:val="22"/>
          <w:szCs w:val="22"/>
        </w:rPr>
        <w:t>;</w:t>
      </w:r>
    </w:p>
    <w:p w14:paraId="7C0D17A4" w14:textId="7FCDA549" w:rsidR="006A5300" w:rsidRDefault="00AA11BD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Take responsibility for delivery of Plan through stakeholder engagement and support</w:t>
      </w:r>
      <w:r w:rsidR="00177C40">
        <w:rPr>
          <w:rFonts w:eastAsia="Arial"/>
          <w:sz w:val="22"/>
          <w:szCs w:val="22"/>
        </w:rPr>
        <w:t>;</w:t>
      </w:r>
    </w:p>
    <w:p w14:paraId="47747FEF" w14:textId="37581249" w:rsidR="00177C40" w:rsidRDefault="00177C40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Provide weekly updates for </w:t>
      </w:r>
      <w:r w:rsidR="008F6985">
        <w:rPr>
          <w:rFonts w:eastAsia="Arial"/>
          <w:sz w:val="22"/>
          <w:szCs w:val="22"/>
        </w:rPr>
        <w:t>Chief Secretary to be shared with stakeholders following sign off</w:t>
      </w:r>
      <w:r>
        <w:rPr>
          <w:rFonts w:eastAsia="Arial"/>
          <w:sz w:val="22"/>
          <w:szCs w:val="22"/>
        </w:rPr>
        <w:t>;</w:t>
      </w:r>
    </w:p>
    <w:p w14:paraId="1A2ED4FC" w14:textId="737F82E9" w:rsidR="00177C40" w:rsidRDefault="00030906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Design ‘tipping point’ measure to inform all on readiness of St Helena to receive migrants (considering </w:t>
      </w:r>
      <w:r w:rsidR="009C1389">
        <w:rPr>
          <w:rFonts w:eastAsia="Arial"/>
          <w:sz w:val="22"/>
          <w:szCs w:val="22"/>
        </w:rPr>
        <w:t>numbers and demographics);</w:t>
      </w:r>
    </w:p>
    <w:p w14:paraId="6803CF07" w14:textId="7C34364E" w:rsidR="009C1389" w:rsidRDefault="009C1389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Identify (with Chief Secretary sign off) </w:t>
      </w:r>
      <w:r w:rsidR="00400FAF">
        <w:rPr>
          <w:rFonts w:eastAsia="Arial"/>
          <w:sz w:val="22"/>
          <w:szCs w:val="22"/>
        </w:rPr>
        <w:t>handover point when role can be dissolved and any outstanding actions be absorbed into business as usual</w:t>
      </w:r>
      <w:r w:rsidR="00437EFA">
        <w:rPr>
          <w:rFonts w:eastAsia="Arial"/>
          <w:sz w:val="22"/>
          <w:szCs w:val="22"/>
        </w:rPr>
        <w:t xml:space="preserve"> for existing SHG/UKG resource to follow up;</w:t>
      </w:r>
    </w:p>
    <w:p w14:paraId="79AE0383" w14:textId="1B7C3433" w:rsidR="00437EFA" w:rsidRPr="00D85062" w:rsidRDefault="00437EFA" w:rsidP="00D85062">
      <w:pPr>
        <w:pStyle w:val="ListParagraph"/>
        <w:numPr>
          <w:ilvl w:val="0"/>
          <w:numId w:val="11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Deliver final hando</w:t>
      </w:r>
      <w:r w:rsidR="006C5502">
        <w:rPr>
          <w:rFonts w:eastAsia="Arial"/>
          <w:sz w:val="22"/>
          <w:szCs w:val="22"/>
        </w:rPr>
        <w:t>ver confirming status of all activity lines, budget and risk and passing across</w:t>
      </w:r>
      <w:r w:rsidR="0049633D">
        <w:rPr>
          <w:rFonts w:eastAsia="Arial"/>
          <w:sz w:val="22"/>
          <w:szCs w:val="22"/>
        </w:rPr>
        <w:t xml:space="preserve"> preparedness products including</w:t>
      </w:r>
      <w:r w:rsidR="006C5502">
        <w:rPr>
          <w:rFonts w:eastAsia="Arial"/>
          <w:sz w:val="22"/>
          <w:szCs w:val="22"/>
        </w:rPr>
        <w:t xml:space="preserve"> finalised documentation/planning for </w:t>
      </w:r>
      <w:r w:rsidR="0049633D">
        <w:rPr>
          <w:rFonts w:eastAsia="Arial"/>
          <w:sz w:val="22"/>
          <w:szCs w:val="22"/>
        </w:rPr>
        <w:t>response phase.</w:t>
      </w:r>
    </w:p>
    <w:p w14:paraId="7EE6A8C8" w14:textId="0200280E" w:rsidR="001E4B65" w:rsidRPr="001E7986" w:rsidRDefault="59635B7C" w:rsidP="3D174FDF">
      <w:pPr>
        <w:pStyle w:val="Heading4"/>
        <w:spacing w:before="319" w:after="319"/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1E7986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</w:rPr>
        <w:t>Qualifications &amp; Expertise</w:t>
      </w:r>
    </w:p>
    <w:p w14:paraId="4DA42EAF" w14:textId="4D99796F" w:rsidR="001E4B65" w:rsidRPr="00444EF1" w:rsidRDefault="59635B7C" w:rsidP="3D174FDF">
      <w:pPr>
        <w:spacing w:before="240" w:after="240"/>
        <w:rPr>
          <w:rFonts w:eastAsia="Arial"/>
          <w:sz w:val="22"/>
          <w:szCs w:val="22"/>
        </w:rPr>
      </w:pPr>
      <w:r w:rsidRPr="3D174FDF">
        <w:rPr>
          <w:rFonts w:eastAsia="Arial"/>
          <w:sz w:val="22"/>
          <w:szCs w:val="22"/>
        </w:rPr>
        <w:t xml:space="preserve">The </w:t>
      </w:r>
      <w:r w:rsidR="00BE2E74">
        <w:rPr>
          <w:rFonts w:eastAsia="Arial"/>
          <w:sz w:val="22"/>
          <w:szCs w:val="22"/>
        </w:rPr>
        <w:t>project manager</w:t>
      </w:r>
      <w:r w:rsidRPr="3D174FDF">
        <w:rPr>
          <w:rFonts w:eastAsia="Arial"/>
          <w:sz w:val="22"/>
          <w:szCs w:val="22"/>
        </w:rPr>
        <w:t xml:space="preserve"> will have:</w:t>
      </w:r>
    </w:p>
    <w:p w14:paraId="72D5247F" w14:textId="34E4204C" w:rsidR="001E4B65" w:rsidRDefault="00C33C3A" w:rsidP="3D174FDF">
      <w:pPr>
        <w:pStyle w:val="ListParagraph"/>
        <w:numPr>
          <w:ilvl w:val="0"/>
          <w:numId w:val="2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Experience in project management preferably within a government context;</w:t>
      </w:r>
    </w:p>
    <w:p w14:paraId="5B813B6F" w14:textId="62F70371" w:rsidR="00C33C3A" w:rsidRDefault="00745750" w:rsidP="3D174FDF">
      <w:pPr>
        <w:pStyle w:val="ListParagraph"/>
        <w:numPr>
          <w:ilvl w:val="0"/>
          <w:numId w:val="2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Budget management experience</w:t>
      </w:r>
    </w:p>
    <w:p w14:paraId="3217BA20" w14:textId="26F3ED43" w:rsidR="00745750" w:rsidRDefault="00745750" w:rsidP="3D174FDF">
      <w:pPr>
        <w:pStyle w:val="ListParagraph"/>
        <w:numPr>
          <w:ilvl w:val="0"/>
          <w:numId w:val="2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Risk management experience</w:t>
      </w:r>
    </w:p>
    <w:p w14:paraId="54F753B0" w14:textId="7368977B" w:rsidR="00745750" w:rsidRPr="00444EF1" w:rsidRDefault="00745750" w:rsidP="3D174FDF">
      <w:pPr>
        <w:pStyle w:val="ListParagraph"/>
        <w:numPr>
          <w:ilvl w:val="0"/>
          <w:numId w:val="2"/>
        </w:numPr>
        <w:spacing w:after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Leadership </w:t>
      </w:r>
      <w:r w:rsidR="00D85062">
        <w:rPr>
          <w:rFonts w:eastAsia="Arial"/>
          <w:sz w:val="22"/>
          <w:szCs w:val="22"/>
        </w:rPr>
        <w:t>and team</w:t>
      </w:r>
      <w:r w:rsidR="00ED0622">
        <w:rPr>
          <w:rFonts w:eastAsia="Arial"/>
          <w:sz w:val="22"/>
          <w:szCs w:val="22"/>
        </w:rPr>
        <w:t xml:space="preserve"> </w:t>
      </w:r>
      <w:r w:rsidR="00D85062">
        <w:rPr>
          <w:rFonts w:eastAsia="Arial"/>
          <w:sz w:val="22"/>
          <w:szCs w:val="22"/>
        </w:rPr>
        <w:t>working experience</w:t>
      </w:r>
    </w:p>
    <w:p w14:paraId="50A95085" w14:textId="5C0B9E49" w:rsidR="001E4B65" w:rsidRPr="00444EF1" w:rsidRDefault="001E4B65" w:rsidP="3D174FDF">
      <w:pPr>
        <w:rPr>
          <w:sz w:val="22"/>
          <w:szCs w:val="22"/>
        </w:rPr>
      </w:pPr>
      <w:r w:rsidRPr="7A193011">
        <w:rPr>
          <w:sz w:val="22"/>
          <w:szCs w:val="22"/>
        </w:rPr>
        <w:t xml:space="preserve"> </w:t>
      </w:r>
    </w:p>
    <w:p w14:paraId="4B16C47C" w14:textId="70D3AC95" w:rsidR="1CD3D933" w:rsidRPr="00CF2934" w:rsidRDefault="1BE585BA" w:rsidP="00CF2934">
      <w:pPr>
        <w:rPr>
          <w:b/>
          <w:bCs/>
        </w:rPr>
      </w:pPr>
      <w:r w:rsidRPr="001E7986">
        <w:rPr>
          <w:b/>
          <w:bCs/>
          <w:sz w:val="22"/>
          <w:szCs w:val="22"/>
        </w:rPr>
        <w:t>Approach</w:t>
      </w:r>
    </w:p>
    <w:p w14:paraId="5C7647CB" w14:textId="7C674B33" w:rsidR="3D174FDF" w:rsidRDefault="1CD3D933" w:rsidP="00FD66DA">
      <w:pPr>
        <w:spacing w:before="240" w:after="240"/>
        <w:rPr>
          <w:sz w:val="22"/>
          <w:szCs w:val="22"/>
        </w:rPr>
      </w:pPr>
      <w:r w:rsidRPr="3D174FDF">
        <w:rPr>
          <w:rFonts w:eastAsia="Arial"/>
          <w:sz w:val="22"/>
          <w:szCs w:val="22"/>
        </w:rPr>
        <w:t xml:space="preserve">The work is expected to </w:t>
      </w:r>
      <w:r w:rsidR="00D327CF">
        <w:rPr>
          <w:rFonts w:eastAsia="Arial"/>
          <w:sz w:val="22"/>
          <w:szCs w:val="22"/>
        </w:rPr>
        <w:t xml:space="preserve">require two </w:t>
      </w:r>
      <w:r w:rsidR="00087197">
        <w:rPr>
          <w:rFonts w:eastAsia="Arial"/>
          <w:sz w:val="22"/>
          <w:szCs w:val="22"/>
        </w:rPr>
        <w:t>areas of focus</w:t>
      </w:r>
      <w:r w:rsidR="00D327CF">
        <w:rPr>
          <w:rFonts w:eastAsia="Arial"/>
          <w:sz w:val="22"/>
          <w:szCs w:val="22"/>
        </w:rPr>
        <w:t xml:space="preserve">. The first will be to pull together </w:t>
      </w:r>
      <w:r w:rsidR="00E45F9F">
        <w:rPr>
          <w:rFonts w:eastAsia="Arial"/>
          <w:sz w:val="22"/>
          <w:szCs w:val="22"/>
        </w:rPr>
        <w:t>existing documentation</w:t>
      </w:r>
      <w:r w:rsidR="00D327CF">
        <w:rPr>
          <w:rFonts w:eastAsia="Arial"/>
          <w:sz w:val="22"/>
          <w:szCs w:val="22"/>
        </w:rPr>
        <w:t xml:space="preserve"> and </w:t>
      </w:r>
      <w:r w:rsidR="003266C9">
        <w:rPr>
          <w:rFonts w:eastAsia="Arial"/>
          <w:sz w:val="22"/>
          <w:szCs w:val="22"/>
        </w:rPr>
        <w:t xml:space="preserve">details of </w:t>
      </w:r>
      <w:r w:rsidR="00D327CF">
        <w:rPr>
          <w:rFonts w:eastAsia="Arial"/>
          <w:sz w:val="22"/>
          <w:szCs w:val="22"/>
        </w:rPr>
        <w:t>work</w:t>
      </w:r>
      <w:r w:rsidR="003266C9">
        <w:rPr>
          <w:rFonts w:eastAsia="Arial"/>
          <w:sz w:val="22"/>
          <w:szCs w:val="22"/>
        </w:rPr>
        <w:t xml:space="preserve"> completed</w:t>
      </w:r>
      <w:r w:rsidR="00D327CF">
        <w:rPr>
          <w:rFonts w:eastAsia="Arial"/>
          <w:sz w:val="22"/>
          <w:szCs w:val="22"/>
        </w:rPr>
        <w:t xml:space="preserve"> to date</w:t>
      </w:r>
      <w:r w:rsidR="00ED10B4">
        <w:rPr>
          <w:rFonts w:eastAsia="Arial"/>
          <w:sz w:val="22"/>
          <w:szCs w:val="22"/>
        </w:rPr>
        <w:t xml:space="preserve"> in order to deliver</w:t>
      </w:r>
      <w:r w:rsidR="00087197">
        <w:rPr>
          <w:rFonts w:eastAsia="Arial"/>
          <w:sz w:val="22"/>
          <w:szCs w:val="22"/>
        </w:rPr>
        <w:t xml:space="preserve"> and update</w:t>
      </w:r>
      <w:r w:rsidR="00ED10B4">
        <w:rPr>
          <w:rFonts w:eastAsia="Arial"/>
          <w:sz w:val="22"/>
          <w:szCs w:val="22"/>
        </w:rPr>
        <w:t xml:space="preserve"> coordinated project </w:t>
      </w:r>
      <w:r w:rsidR="00E51D33">
        <w:rPr>
          <w:rFonts w:eastAsia="Arial"/>
          <w:sz w:val="22"/>
          <w:szCs w:val="22"/>
        </w:rPr>
        <w:t xml:space="preserve">management </w:t>
      </w:r>
      <w:r w:rsidR="00E45F9F">
        <w:rPr>
          <w:rFonts w:eastAsia="Arial"/>
          <w:sz w:val="22"/>
          <w:szCs w:val="22"/>
        </w:rPr>
        <w:t>plans</w:t>
      </w:r>
      <w:r w:rsidR="00E51D33">
        <w:rPr>
          <w:rFonts w:eastAsia="Arial"/>
          <w:sz w:val="22"/>
          <w:szCs w:val="22"/>
        </w:rPr>
        <w:t xml:space="preserve"> as above. The second will </w:t>
      </w:r>
      <w:r w:rsidR="00087197">
        <w:rPr>
          <w:rFonts w:eastAsia="Arial"/>
          <w:sz w:val="22"/>
          <w:szCs w:val="22"/>
        </w:rPr>
        <w:t>be to</w:t>
      </w:r>
      <w:r w:rsidR="00E51D33">
        <w:rPr>
          <w:rFonts w:eastAsia="Arial"/>
          <w:sz w:val="22"/>
          <w:szCs w:val="22"/>
        </w:rPr>
        <w:t xml:space="preserve"> implement the </w:t>
      </w:r>
      <w:r w:rsidR="00F42139">
        <w:rPr>
          <w:rFonts w:eastAsia="Arial"/>
          <w:sz w:val="22"/>
          <w:szCs w:val="22"/>
        </w:rPr>
        <w:t xml:space="preserve">preparedness </w:t>
      </w:r>
      <w:r w:rsidR="00E51D33">
        <w:rPr>
          <w:rFonts w:eastAsia="Arial"/>
          <w:sz w:val="22"/>
          <w:szCs w:val="22"/>
        </w:rPr>
        <w:t>project plan</w:t>
      </w:r>
      <w:r w:rsidR="003266C9">
        <w:rPr>
          <w:rFonts w:eastAsia="Arial"/>
          <w:sz w:val="22"/>
          <w:szCs w:val="22"/>
        </w:rPr>
        <w:t xml:space="preserve">. </w:t>
      </w:r>
      <w:r w:rsidR="00087197">
        <w:rPr>
          <w:rFonts w:eastAsia="Arial"/>
          <w:sz w:val="22"/>
          <w:szCs w:val="22"/>
        </w:rPr>
        <w:t>These will run concurrently.</w:t>
      </w:r>
    </w:p>
    <w:p w14:paraId="35D031F4" w14:textId="2DD6F54A" w:rsidR="00CB64C3" w:rsidRPr="001E7986" w:rsidRDefault="44BD09D4" w:rsidP="3D174FDF">
      <w:pPr>
        <w:rPr>
          <w:b/>
          <w:bCs/>
          <w:sz w:val="22"/>
          <w:szCs w:val="22"/>
        </w:rPr>
      </w:pPr>
      <w:r w:rsidRPr="001E7986">
        <w:rPr>
          <w:b/>
          <w:bCs/>
          <w:sz w:val="22"/>
          <w:szCs w:val="22"/>
        </w:rPr>
        <w:t>Timing and Reporting</w:t>
      </w:r>
    </w:p>
    <w:p w14:paraId="1F4329C8" w14:textId="2F253FBA" w:rsidR="5FDDA5C0" w:rsidRDefault="00A57414" w:rsidP="3D174FDF">
      <w:p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Role is envisaged to start asap, ie </w:t>
      </w:r>
      <w:r w:rsidR="00087197">
        <w:rPr>
          <w:rFonts w:cstheme="minorBidi"/>
          <w:sz w:val="22"/>
          <w:szCs w:val="22"/>
        </w:rPr>
        <w:t>November</w:t>
      </w:r>
      <w:r>
        <w:rPr>
          <w:rFonts w:cstheme="minorBidi"/>
          <w:sz w:val="22"/>
          <w:szCs w:val="22"/>
        </w:rPr>
        <w:t xml:space="preserve"> 2025. </w:t>
      </w:r>
      <w:r w:rsidR="00576858">
        <w:rPr>
          <w:rFonts w:cstheme="minorBidi"/>
          <w:sz w:val="22"/>
          <w:szCs w:val="22"/>
        </w:rPr>
        <w:t>It will be needed until the satisfactory completion of preparedness work on SH for potential migrant arrivals</w:t>
      </w:r>
      <w:r w:rsidR="00C447BF">
        <w:rPr>
          <w:rFonts w:cstheme="minorBidi"/>
          <w:sz w:val="22"/>
          <w:szCs w:val="22"/>
        </w:rPr>
        <w:t xml:space="preserve"> or at least until outstanding actions are clear, known and can be managed within existing SHG/</w:t>
      </w:r>
      <w:r w:rsidR="001B793C">
        <w:rPr>
          <w:rFonts w:cstheme="minorBidi"/>
          <w:sz w:val="22"/>
          <w:szCs w:val="22"/>
        </w:rPr>
        <w:t xml:space="preserve"> </w:t>
      </w:r>
      <w:r w:rsidR="00C447BF">
        <w:rPr>
          <w:rFonts w:cstheme="minorBidi"/>
          <w:sz w:val="22"/>
          <w:szCs w:val="22"/>
        </w:rPr>
        <w:t>GO resources.</w:t>
      </w:r>
      <w:r w:rsidR="00CC0663">
        <w:rPr>
          <w:rFonts w:cstheme="minorBidi"/>
          <w:sz w:val="22"/>
          <w:szCs w:val="22"/>
        </w:rPr>
        <w:t xml:space="preserve"> This is expected to take c.3 months at which </w:t>
      </w:r>
      <w:bookmarkStart w:id="0" w:name="_GoBack"/>
      <w:bookmarkEnd w:id="0"/>
      <w:r w:rsidR="00CC0663">
        <w:rPr>
          <w:rFonts w:cstheme="minorBidi"/>
          <w:sz w:val="22"/>
          <w:szCs w:val="22"/>
        </w:rPr>
        <w:t>point there would be a clear handover</w:t>
      </w:r>
      <w:r w:rsidR="003900FF">
        <w:rPr>
          <w:rFonts w:cstheme="minorBidi"/>
          <w:sz w:val="22"/>
          <w:szCs w:val="22"/>
        </w:rPr>
        <w:t xml:space="preserve"> or an extension if required.</w:t>
      </w:r>
    </w:p>
    <w:p w14:paraId="5AE7CD41" w14:textId="43CAD54A" w:rsidR="003900FF" w:rsidRDefault="003900FF" w:rsidP="3D174FDF">
      <w:p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There will be a probationary period of 1 month to </w:t>
      </w:r>
      <w:r w:rsidR="00087197">
        <w:rPr>
          <w:rFonts w:cstheme="minorBidi"/>
          <w:sz w:val="22"/>
          <w:szCs w:val="22"/>
        </w:rPr>
        <w:t>show satisfactory progress against both plans and documentation as well as plan delivery.</w:t>
      </w:r>
      <w:r w:rsidR="00407707">
        <w:rPr>
          <w:rFonts w:cstheme="minorBidi"/>
          <w:sz w:val="22"/>
          <w:szCs w:val="22"/>
        </w:rPr>
        <w:t xml:space="preserve"> </w:t>
      </w:r>
    </w:p>
    <w:p w14:paraId="6C6513B5" w14:textId="71D302F8" w:rsidR="00D94BFC" w:rsidRDefault="00D94BFC" w:rsidP="3D174FDF">
      <w:p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The role will report to the Chief Secretary. </w:t>
      </w:r>
    </w:p>
    <w:p w14:paraId="2CC18384" w14:textId="04792875" w:rsidR="3D174FDF" w:rsidRDefault="3D174FDF" w:rsidP="3D174FDF">
      <w:pPr>
        <w:rPr>
          <w:rFonts w:cstheme="minorBidi"/>
          <w:sz w:val="22"/>
          <w:szCs w:val="22"/>
        </w:rPr>
      </w:pPr>
    </w:p>
    <w:sectPr w:rsidR="3D174FDF" w:rsidSect="006B018A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7662EA" w16cex:dateUtc="2025-11-07T11:47:00Z"/>
  <w16cex:commentExtensible w16cex:durableId="578A4599" w16cex:dateUtc="2025-11-07T11:48:00Z"/>
  <w16cex:commentExtensible w16cex:durableId="3692EB3C" w16cex:dateUtc="2025-11-07T11:52:00Z"/>
  <w16cex:commentExtensible w16cex:durableId="2363F095" w16cex:dateUtc="2025-11-07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AA3A8F" w16cid:durableId="66AA3A8F"/>
  <w16cid:commentId w16cid:paraId="5E8C529D" w16cid:durableId="2B7662EA"/>
  <w16cid:commentId w16cid:paraId="2812DA6B" w16cid:durableId="2812DA6B"/>
  <w16cid:commentId w16cid:paraId="250FA7B2" w16cid:durableId="578A4599"/>
  <w16cid:commentId w16cid:paraId="54F15054" w16cid:durableId="54F15054"/>
  <w16cid:commentId w16cid:paraId="7AEBC04A" w16cid:durableId="3692EB3C"/>
  <w16cid:commentId w16cid:paraId="77C5FA05" w16cid:durableId="77C5FA05"/>
  <w16cid:commentId w16cid:paraId="576541D6" w16cid:durableId="2363F0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156D2" w14:textId="77777777" w:rsidR="00686230" w:rsidRDefault="00686230" w:rsidP="00656DC9">
      <w:pPr>
        <w:spacing w:after="0" w:line="240" w:lineRule="auto"/>
      </w:pPr>
      <w:r>
        <w:separator/>
      </w:r>
    </w:p>
  </w:endnote>
  <w:endnote w:type="continuationSeparator" w:id="0">
    <w:p w14:paraId="2E69E607" w14:textId="77777777" w:rsidR="00686230" w:rsidRDefault="00686230" w:rsidP="0065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2EA1" w14:textId="2D3E490D" w:rsidR="00656DC9" w:rsidRDefault="00656DC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85468C" wp14:editId="5EA399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0773771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E459C" w14:textId="75A12A04" w:rsidR="00656DC9" w:rsidRPr="00656DC9" w:rsidRDefault="00656DC9" w:rsidP="00656D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D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8546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025E459C" w14:textId="75A12A04" w:rsidR="00656DC9" w:rsidRPr="00656DC9" w:rsidRDefault="00656DC9" w:rsidP="00656D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D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CB43F" w14:textId="12890AD9" w:rsidR="00656DC9" w:rsidRDefault="00656DC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71E327" wp14:editId="2521D8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6603730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E2F11" w14:textId="1079888A" w:rsidR="00656DC9" w:rsidRPr="00656DC9" w:rsidRDefault="00656DC9" w:rsidP="00656D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71E3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593E2F11" w14:textId="1079888A" w:rsidR="00656DC9" w:rsidRPr="00656DC9" w:rsidRDefault="00656DC9" w:rsidP="00656D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32441" w14:textId="77777777" w:rsidR="00686230" w:rsidRDefault="00686230" w:rsidP="00656DC9">
      <w:pPr>
        <w:spacing w:after="0" w:line="240" w:lineRule="auto"/>
      </w:pPr>
      <w:r>
        <w:separator/>
      </w:r>
    </w:p>
  </w:footnote>
  <w:footnote w:type="continuationSeparator" w:id="0">
    <w:p w14:paraId="1718BA64" w14:textId="77777777" w:rsidR="00686230" w:rsidRDefault="00686230" w:rsidP="0065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7A63" w14:textId="47C61DE1" w:rsidR="00656DC9" w:rsidRDefault="00656DC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750B38" wp14:editId="7B73ED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5870471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A26EC" w14:textId="415416E2" w:rsidR="00656DC9" w:rsidRPr="00656DC9" w:rsidRDefault="00656DC9" w:rsidP="00656D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D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750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771A26EC" w14:textId="415416E2" w:rsidR="00656DC9" w:rsidRPr="00656DC9" w:rsidRDefault="00656DC9" w:rsidP="00656D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D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C2BA" w14:textId="0B4106E5" w:rsidR="006B018A" w:rsidRPr="006B018A" w:rsidRDefault="006B018A" w:rsidP="006B018A">
    <w:pPr>
      <w:pStyle w:val="Header"/>
      <w:rPr>
        <w:sz w:val="20"/>
        <w:szCs w:val="20"/>
      </w:rPr>
    </w:pPr>
  </w:p>
  <w:p w14:paraId="20596482" w14:textId="77777777" w:rsidR="006B018A" w:rsidRDefault="006B018A" w:rsidP="006B018A">
    <w:pPr>
      <w:pStyle w:val="Header"/>
      <w:rPr>
        <w:noProof/>
      </w:rPr>
    </w:pPr>
  </w:p>
  <w:p w14:paraId="424D6FE9" w14:textId="77777777" w:rsidR="006B018A" w:rsidRDefault="006B018A" w:rsidP="006B018A">
    <w:pPr>
      <w:pStyle w:val="Header"/>
    </w:pPr>
  </w:p>
  <w:p w14:paraId="549A232D" w14:textId="46638341" w:rsidR="00656DC9" w:rsidRDefault="00656D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019D"/>
    <w:multiLevelType w:val="hybridMultilevel"/>
    <w:tmpl w:val="D9A4E168"/>
    <w:lvl w:ilvl="0" w:tplc="431E5EBC">
      <w:start w:val="4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C2A"/>
    <w:multiLevelType w:val="hybridMultilevel"/>
    <w:tmpl w:val="6BCCF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25A1"/>
    <w:multiLevelType w:val="hybridMultilevel"/>
    <w:tmpl w:val="A1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09769"/>
    <w:multiLevelType w:val="hybridMultilevel"/>
    <w:tmpl w:val="1A188E98"/>
    <w:lvl w:ilvl="0" w:tplc="CA7ED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8F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8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B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4D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6D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B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4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9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CDD7F"/>
    <w:multiLevelType w:val="hybridMultilevel"/>
    <w:tmpl w:val="660C778C"/>
    <w:lvl w:ilvl="0" w:tplc="C3DA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AE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0C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EB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E0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AF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6A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87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AD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4E34"/>
    <w:multiLevelType w:val="hybridMultilevel"/>
    <w:tmpl w:val="6EE26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1C16"/>
    <w:multiLevelType w:val="hybridMultilevel"/>
    <w:tmpl w:val="9A681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5A809"/>
    <w:multiLevelType w:val="hybridMultilevel"/>
    <w:tmpl w:val="977E2DD8"/>
    <w:lvl w:ilvl="0" w:tplc="45F65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2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8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A5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E6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0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44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6A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8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21949"/>
    <w:multiLevelType w:val="hybridMultilevel"/>
    <w:tmpl w:val="66C40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22B98"/>
    <w:multiLevelType w:val="hybridMultilevel"/>
    <w:tmpl w:val="6226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3686"/>
    <w:multiLevelType w:val="hybridMultilevel"/>
    <w:tmpl w:val="772EC58C"/>
    <w:lvl w:ilvl="0" w:tplc="3C169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61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40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83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64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03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67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8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A5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3C"/>
    <w:rsid w:val="00001D09"/>
    <w:rsid w:val="00012FE4"/>
    <w:rsid w:val="00015A7C"/>
    <w:rsid w:val="00022C63"/>
    <w:rsid w:val="0002371E"/>
    <w:rsid w:val="00026AC1"/>
    <w:rsid w:val="00030906"/>
    <w:rsid w:val="00036463"/>
    <w:rsid w:val="00040F8C"/>
    <w:rsid w:val="000559CB"/>
    <w:rsid w:val="00061F32"/>
    <w:rsid w:val="0007177E"/>
    <w:rsid w:val="00071B24"/>
    <w:rsid w:val="00074F13"/>
    <w:rsid w:val="0008541A"/>
    <w:rsid w:val="00087197"/>
    <w:rsid w:val="000872D9"/>
    <w:rsid w:val="0009009A"/>
    <w:rsid w:val="000920A3"/>
    <w:rsid w:val="00094BD8"/>
    <w:rsid w:val="000A64FA"/>
    <w:rsid w:val="000C3A77"/>
    <w:rsid w:val="000D377F"/>
    <w:rsid w:val="000E1C27"/>
    <w:rsid w:val="000E46FE"/>
    <w:rsid w:val="000E7ED9"/>
    <w:rsid w:val="000F2D76"/>
    <w:rsid w:val="000F4021"/>
    <w:rsid w:val="001175B3"/>
    <w:rsid w:val="00125759"/>
    <w:rsid w:val="00145EC5"/>
    <w:rsid w:val="00146094"/>
    <w:rsid w:val="001521DD"/>
    <w:rsid w:val="001609DF"/>
    <w:rsid w:val="00160C75"/>
    <w:rsid w:val="00161245"/>
    <w:rsid w:val="00163A2E"/>
    <w:rsid w:val="00177C40"/>
    <w:rsid w:val="00184473"/>
    <w:rsid w:val="001B12F5"/>
    <w:rsid w:val="001B5788"/>
    <w:rsid w:val="001B793C"/>
    <w:rsid w:val="001E4B65"/>
    <w:rsid w:val="001E5169"/>
    <w:rsid w:val="001E7986"/>
    <w:rsid w:val="001F541E"/>
    <w:rsid w:val="002162EF"/>
    <w:rsid w:val="002168EC"/>
    <w:rsid w:val="00223F66"/>
    <w:rsid w:val="0022733F"/>
    <w:rsid w:val="00232828"/>
    <w:rsid w:val="00243658"/>
    <w:rsid w:val="00250B80"/>
    <w:rsid w:val="00257CC4"/>
    <w:rsid w:val="00267703"/>
    <w:rsid w:val="00284E2E"/>
    <w:rsid w:val="00286326"/>
    <w:rsid w:val="00297A3F"/>
    <w:rsid w:val="002A05D1"/>
    <w:rsid w:val="002B1133"/>
    <w:rsid w:val="002B14D3"/>
    <w:rsid w:val="002B69AF"/>
    <w:rsid w:val="002C0C79"/>
    <w:rsid w:val="002C57A7"/>
    <w:rsid w:val="002D1919"/>
    <w:rsid w:val="002D3283"/>
    <w:rsid w:val="002E046F"/>
    <w:rsid w:val="002E269A"/>
    <w:rsid w:val="002E452A"/>
    <w:rsid w:val="002F3025"/>
    <w:rsid w:val="002F5E74"/>
    <w:rsid w:val="003023E4"/>
    <w:rsid w:val="00307046"/>
    <w:rsid w:val="003117E6"/>
    <w:rsid w:val="0031447B"/>
    <w:rsid w:val="00314BB6"/>
    <w:rsid w:val="003266C9"/>
    <w:rsid w:val="00335DAA"/>
    <w:rsid w:val="003407CF"/>
    <w:rsid w:val="00345B3C"/>
    <w:rsid w:val="003548D9"/>
    <w:rsid w:val="0037136C"/>
    <w:rsid w:val="00374B63"/>
    <w:rsid w:val="00374DB5"/>
    <w:rsid w:val="00376C0A"/>
    <w:rsid w:val="003802A3"/>
    <w:rsid w:val="003900FF"/>
    <w:rsid w:val="00395EAD"/>
    <w:rsid w:val="003A587A"/>
    <w:rsid w:val="003B019D"/>
    <w:rsid w:val="003C050B"/>
    <w:rsid w:val="003C1197"/>
    <w:rsid w:val="003C21EC"/>
    <w:rsid w:val="003C250F"/>
    <w:rsid w:val="003C2EEB"/>
    <w:rsid w:val="003C41A8"/>
    <w:rsid w:val="003C513C"/>
    <w:rsid w:val="003C678D"/>
    <w:rsid w:val="003D7008"/>
    <w:rsid w:val="003E045D"/>
    <w:rsid w:val="003E098A"/>
    <w:rsid w:val="003E1274"/>
    <w:rsid w:val="003E544B"/>
    <w:rsid w:val="00400FAF"/>
    <w:rsid w:val="004056C3"/>
    <w:rsid w:val="00407707"/>
    <w:rsid w:val="004262F7"/>
    <w:rsid w:val="00427628"/>
    <w:rsid w:val="004365E7"/>
    <w:rsid w:val="00437EFA"/>
    <w:rsid w:val="00442390"/>
    <w:rsid w:val="00444EF1"/>
    <w:rsid w:val="00445944"/>
    <w:rsid w:val="00447E46"/>
    <w:rsid w:val="004565B5"/>
    <w:rsid w:val="0046044A"/>
    <w:rsid w:val="0046268B"/>
    <w:rsid w:val="0047632D"/>
    <w:rsid w:val="0049633D"/>
    <w:rsid w:val="004D36D4"/>
    <w:rsid w:val="004D452D"/>
    <w:rsid w:val="004E3513"/>
    <w:rsid w:val="004E6339"/>
    <w:rsid w:val="004E6B22"/>
    <w:rsid w:val="00500843"/>
    <w:rsid w:val="00501AE8"/>
    <w:rsid w:val="005069DC"/>
    <w:rsid w:val="00512EF3"/>
    <w:rsid w:val="005161A8"/>
    <w:rsid w:val="00531923"/>
    <w:rsid w:val="005420F2"/>
    <w:rsid w:val="00553DD9"/>
    <w:rsid w:val="00555D00"/>
    <w:rsid w:val="0056160A"/>
    <w:rsid w:val="005706E1"/>
    <w:rsid w:val="00570920"/>
    <w:rsid w:val="00576858"/>
    <w:rsid w:val="005855AA"/>
    <w:rsid w:val="00585E14"/>
    <w:rsid w:val="00593992"/>
    <w:rsid w:val="005A7C87"/>
    <w:rsid w:val="005B3FDA"/>
    <w:rsid w:val="005C1C06"/>
    <w:rsid w:val="005D713E"/>
    <w:rsid w:val="006066E7"/>
    <w:rsid w:val="00611049"/>
    <w:rsid w:val="00624195"/>
    <w:rsid w:val="006333F3"/>
    <w:rsid w:val="00633D24"/>
    <w:rsid w:val="00654639"/>
    <w:rsid w:val="00655F50"/>
    <w:rsid w:val="00656DC9"/>
    <w:rsid w:val="00661377"/>
    <w:rsid w:val="00680003"/>
    <w:rsid w:val="00686230"/>
    <w:rsid w:val="006A2F7E"/>
    <w:rsid w:val="006A3B71"/>
    <w:rsid w:val="006A5300"/>
    <w:rsid w:val="006B018A"/>
    <w:rsid w:val="006B153A"/>
    <w:rsid w:val="006B194A"/>
    <w:rsid w:val="006C3335"/>
    <w:rsid w:val="006C39BC"/>
    <w:rsid w:val="006C5502"/>
    <w:rsid w:val="006D4BAE"/>
    <w:rsid w:val="006E1429"/>
    <w:rsid w:val="006E752A"/>
    <w:rsid w:val="007038F2"/>
    <w:rsid w:val="00703E15"/>
    <w:rsid w:val="007117B6"/>
    <w:rsid w:val="00713E19"/>
    <w:rsid w:val="00714A8A"/>
    <w:rsid w:val="00717C5B"/>
    <w:rsid w:val="00727E97"/>
    <w:rsid w:val="00731436"/>
    <w:rsid w:val="0074479A"/>
    <w:rsid w:val="00745750"/>
    <w:rsid w:val="00753F25"/>
    <w:rsid w:val="007750B2"/>
    <w:rsid w:val="00777060"/>
    <w:rsid w:val="007807B9"/>
    <w:rsid w:val="00783AE9"/>
    <w:rsid w:val="00784199"/>
    <w:rsid w:val="00784243"/>
    <w:rsid w:val="007945A1"/>
    <w:rsid w:val="007A3FF7"/>
    <w:rsid w:val="007A48A4"/>
    <w:rsid w:val="007D7AC2"/>
    <w:rsid w:val="007E57C3"/>
    <w:rsid w:val="007E63B1"/>
    <w:rsid w:val="007E7A09"/>
    <w:rsid w:val="007E7DAF"/>
    <w:rsid w:val="007F1BD2"/>
    <w:rsid w:val="007F6ECA"/>
    <w:rsid w:val="00810BF9"/>
    <w:rsid w:val="0082650A"/>
    <w:rsid w:val="00827F6F"/>
    <w:rsid w:val="008340F0"/>
    <w:rsid w:val="00845D53"/>
    <w:rsid w:val="00862EC6"/>
    <w:rsid w:val="00876AF3"/>
    <w:rsid w:val="00876FCD"/>
    <w:rsid w:val="008808B3"/>
    <w:rsid w:val="008958F1"/>
    <w:rsid w:val="008A6F05"/>
    <w:rsid w:val="008B373D"/>
    <w:rsid w:val="008B6BE0"/>
    <w:rsid w:val="008C0604"/>
    <w:rsid w:val="008C0D1B"/>
    <w:rsid w:val="008C17D4"/>
    <w:rsid w:val="008C2ED6"/>
    <w:rsid w:val="008C4160"/>
    <w:rsid w:val="008D0FA4"/>
    <w:rsid w:val="008D6CB2"/>
    <w:rsid w:val="008F6985"/>
    <w:rsid w:val="00903D63"/>
    <w:rsid w:val="00907A2D"/>
    <w:rsid w:val="0091209F"/>
    <w:rsid w:val="00917FFD"/>
    <w:rsid w:val="00921199"/>
    <w:rsid w:val="00921F8D"/>
    <w:rsid w:val="0093531D"/>
    <w:rsid w:val="009403B9"/>
    <w:rsid w:val="009444F9"/>
    <w:rsid w:val="009538CB"/>
    <w:rsid w:val="00954BB9"/>
    <w:rsid w:val="00957B6E"/>
    <w:rsid w:val="00962696"/>
    <w:rsid w:val="009754CC"/>
    <w:rsid w:val="00992226"/>
    <w:rsid w:val="00995D6E"/>
    <w:rsid w:val="009A3947"/>
    <w:rsid w:val="009B0346"/>
    <w:rsid w:val="009B0B3F"/>
    <w:rsid w:val="009B1CFB"/>
    <w:rsid w:val="009B7AF9"/>
    <w:rsid w:val="009C1389"/>
    <w:rsid w:val="009F49D5"/>
    <w:rsid w:val="00A024DE"/>
    <w:rsid w:val="00A027CC"/>
    <w:rsid w:val="00A242F4"/>
    <w:rsid w:val="00A2582B"/>
    <w:rsid w:val="00A31C58"/>
    <w:rsid w:val="00A33A0B"/>
    <w:rsid w:val="00A35B9F"/>
    <w:rsid w:val="00A4477A"/>
    <w:rsid w:val="00A533D1"/>
    <w:rsid w:val="00A54805"/>
    <w:rsid w:val="00A57414"/>
    <w:rsid w:val="00A6644A"/>
    <w:rsid w:val="00A7103A"/>
    <w:rsid w:val="00A71E46"/>
    <w:rsid w:val="00A76DF8"/>
    <w:rsid w:val="00A81773"/>
    <w:rsid w:val="00A86914"/>
    <w:rsid w:val="00A9325E"/>
    <w:rsid w:val="00AA11BD"/>
    <w:rsid w:val="00AA3952"/>
    <w:rsid w:val="00AA6C3E"/>
    <w:rsid w:val="00AA74C7"/>
    <w:rsid w:val="00AC10CF"/>
    <w:rsid w:val="00AC169D"/>
    <w:rsid w:val="00AC18CF"/>
    <w:rsid w:val="00AE393C"/>
    <w:rsid w:val="00AF35C2"/>
    <w:rsid w:val="00B00340"/>
    <w:rsid w:val="00B175C3"/>
    <w:rsid w:val="00B3061D"/>
    <w:rsid w:val="00B30F34"/>
    <w:rsid w:val="00B32EFD"/>
    <w:rsid w:val="00B43591"/>
    <w:rsid w:val="00B57DCA"/>
    <w:rsid w:val="00B61161"/>
    <w:rsid w:val="00B74AC6"/>
    <w:rsid w:val="00B74E52"/>
    <w:rsid w:val="00B97486"/>
    <w:rsid w:val="00BA2C5B"/>
    <w:rsid w:val="00BA72B8"/>
    <w:rsid w:val="00BC2508"/>
    <w:rsid w:val="00BC783C"/>
    <w:rsid w:val="00BD2BC2"/>
    <w:rsid w:val="00BE04BE"/>
    <w:rsid w:val="00BE06D1"/>
    <w:rsid w:val="00BE2E74"/>
    <w:rsid w:val="00BF1D7C"/>
    <w:rsid w:val="00BF398A"/>
    <w:rsid w:val="00BF4F21"/>
    <w:rsid w:val="00BF55CE"/>
    <w:rsid w:val="00C03B5A"/>
    <w:rsid w:val="00C046BF"/>
    <w:rsid w:val="00C1006C"/>
    <w:rsid w:val="00C11F09"/>
    <w:rsid w:val="00C16221"/>
    <w:rsid w:val="00C255FA"/>
    <w:rsid w:val="00C26698"/>
    <w:rsid w:val="00C33C3A"/>
    <w:rsid w:val="00C447BF"/>
    <w:rsid w:val="00C745D4"/>
    <w:rsid w:val="00C872E1"/>
    <w:rsid w:val="00C90056"/>
    <w:rsid w:val="00CA08A8"/>
    <w:rsid w:val="00CA0FE9"/>
    <w:rsid w:val="00CA499C"/>
    <w:rsid w:val="00CA4E20"/>
    <w:rsid w:val="00CA577A"/>
    <w:rsid w:val="00CA7DE0"/>
    <w:rsid w:val="00CB64C3"/>
    <w:rsid w:val="00CC0663"/>
    <w:rsid w:val="00CC5E98"/>
    <w:rsid w:val="00CE2C45"/>
    <w:rsid w:val="00CF0D78"/>
    <w:rsid w:val="00CF2934"/>
    <w:rsid w:val="00CF2945"/>
    <w:rsid w:val="00D054A5"/>
    <w:rsid w:val="00D2025C"/>
    <w:rsid w:val="00D227A1"/>
    <w:rsid w:val="00D327CF"/>
    <w:rsid w:val="00D4382C"/>
    <w:rsid w:val="00D47B81"/>
    <w:rsid w:val="00D64135"/>
    <w:rsid w:val="00D651BC"/>
    <w:rsid w:val="00D77B95"/>
    <w:rsid w:val="00D8235E"/>
    <w:rsid w:val="00D823F6"/>
    <w:rsid w:val="00D85062"/>
    <w:rsid w:val="00D94BFC"/>
    <w:rsid w:val="00D972CD"/>
    <w:rsid w:val="00DA20E6"/>
    <w:rsid w:val="00DA2D9A"/>
    <w:rsid w:val="00DA77A5"/>
    <w:rsid w:val="00DB0E47"/>
    <w:rsid w:val="00DB4078"/>
    <w:rsid w:val="00DB7C88"/>
    <w:rsid w:val="00DC061F"/>
    <w:rsid w:val="00DE4D31"/>
    <w:rsid w:val="00DE4F82"/>
    <w:rsid w:val="00E01965"/>
    <w:rsid w:val="00E04A11"/>
    <w:rsid w:val="00E060D0"/>
    <w:rsid w:val="00E31991"/>
    <w:rsid w:val="00E31EA5"/>
    <w:rsid w:val="00E3339D"/>
    <w:rsid w:val="00E346E8"/>
    <w:rsid w:val="00E40BFC"/>
    <w:rsid w:val="00E45F9F"/>
    <w:rsid w:val="00E51D33"/>
    <w:rsid w:val="00E57BCD"/>
    <w:rsid w:val="00E608FA"/>
    <w:rsid w:val="00E63409"/>
    <w:rsid w:val="00E6464F"/>
    <w:rsid w:val="00E66BE1"/>
    <w:rsid w:val="00E67B95"/>
    <w:rsid w:val="00E74BB2"/>
    <w:rsid w:val="00E80C81"/>
    <w:rsid w:val="00E82BCC"/>
    <w:rsid w:val="00E830F1"/>
    <w:rsid w:val="00E878B7"/>
    <w:rsid w:val="00E958A7"/>
    <w:rsid w:val="00EB3DD9"/>
    <w:rsid w:val="00ED0622"/>
    <w:rsid w:val="00ED10B4"/>
    <w:rsid w:val="00EE365A"/>
    <w:rsid w:val="00EE59A3"/>
    <w:rsid w:val="00EF179E"/>
    <w:rsid w:val="00EF4A99"/>
    <w:rsid w:val="00EF4E54"/>
    <w:rsid w:val="00F053D6"/>
    <w:rsid w:val="00F10151"/>
    <w:rsid w:val="00F12951"/>
    <w:rsid w:val="00F15FD6"/>
    <w:rsid w:val="00F22773"/>
    <w:rsid w:val="00F263E5"/>
    <w:rsid w:val="00F27A36"/>
    <w:rsid w:val="00F355CB"/>
    <w:rsid w:val="00F42139"/>
    <w:rsid w:val="00F44A4D"/>
    <w:rsid w:val="00F4707B"/>
    <w:rsid w:val="00F61418"/>
    <w:rsid w:val="00F617B1"/>
    <w:rsid w:val="00F621BF"/>
    <w:rsid w:val="00F64CBD"/>
    <w:rsid w:val="00F677AE"/>
    <w:rsid w:val="00F73F6C"/>
    <w:rsid w:val="00F741DD"/>
    <w:rsid w:val="00F81BF6"/>
    <w:rsid w:val="00F82684"/>
    <w:rsid w:val="00F82C01"/>
    <w:rsid w:val="00F9403C"/>
    <w:rsid w:val="00F96D99"/>
    <w:rsid w:val="00FA48E6"/>
    <w:rsid w:val="00FB2587"/>
    <w:rsid w:val="00FB332F"/>
    <w:rsid w:val="00FB3339"/>
    <w:rsid w:val="00FC2994"/>
    <w:rsid w:val="00FD201E"/>
    <w:rsid w:val="00FD62B0"/>
    <w:rsid w:val="00FD66DA"/>
    <w:rsid w:val="00FF197B"/>
    <w:rsid w:val="03396B9B"/>
    <w:rsid w:val="0348EF5A"/>
    <w:rsid w:val="0386C619"/>
    <w:rsid w:val="03EE342F"/>
    <w:rsid w:val="049AD20A"/>
    <w:rsid w:val="057DFDC9"/>
    <w:rsid w:val="05EC4C3C"/>
    <w:rsid w:val="05FD4233"/>
    <w:rsid w:val="068572B1"/>
    <w:rsid w:val="079EC1F5"/>
    <w:rsid w:val="07A4DDA5"/>
    <w:rsid w:val="07C75323"/>
    <w:rsid w:val="07E47AB6"/>
    <w:rsid w:val="083FD5CE"/>
    <w:rsid w:val="0892D1D0"/>
    <w:rsid w:val="089545F4"/>
    <w:rsid w:val="08F55691"/>
    <w:rsid w:val="09166FF7"/>
    <w:rsid w:val="093D49EA"/>
    <w:rsid w:val="09E469D2"/>
    <w:rsid w:val="0B8112AB"/>
    <w:rsid w:val="0D109156"/>
    <w:rsid w:val="0D10E733"/>
    <w:rsid w:val="0F131E52"/>
    <w:rsid w:val="0F5C68A9"/>
    <w:rsid w:val="0FA4BCA2"/>
    <w:rsid w:val="11B14565"/>
    <w:rsid w:val="124A2834"/>
    <w:rsid w:val="132B03A5"/>
    <w:rsid w:val="14B1225A"/>
    <w:rsid w:val="15FBE73B"/>
    <w:rsid w:val="16918E1C"/>
    <w:rsid w:val="16AC863A"/>
    <w:rsid w:val="16AF7139"/>
    <w:rsid w:val="16E133B4"/>
    <w:rsid w:val="1740EBE3"/>
    <w:rsid w:val="19AF90C6"/>
    <w:rsid w:val="1B1F66F9"/>
    <w:rsid w:val="1BE585BA"/>
    <w:rsid w:val="1C3DF5DA"/>
    <w:rsid w:val="1C5E658F"/>
    <w:rsid w:val="1C746439"/>
    <w:rsid w:val="1C818A69"/>
    <w:rsid w:val="1CD3D933"/>
    <w:rsid w:val="1E0BB57A"/>
    <w:rsid w:val="1F9AB1F1"/>
    <w:rsid w:val="1FBAAD0D"/>
    <w:rsid w:val="204617B5"/>
    <w:rsid w:val="20618268"/>
    <w:rsid w:val="20A7A8EF"/>
    <w:rsid w:val="20CAC923"/>
    <w:rsid w:val="22A4C3F7"/>
    <w:rsid w:val="24A03712"/>
    <w:rsid w:val="24D35122"/>
    <w:rsid w:val="251EF20E"/>
    <w:rsid w:val="266277A6"/>
    <w:rsid w:val="26ED2273"/>
    <w:rsid w:val="27E3759C"/>
    <w:rsid w:val="28A3ABFD"/>
    <w:rsid w:val="28A41B36"/>
    <w:rsid w:val="29AC722F"/>
    <w:rsid w:val="2AE21D14"/>
    <w:rsid w:val="2B3C9E54"/>
    <w:rsid w:val="2D5253CA"/>
    <w:rsid w:val="2EBC2B0B"/>
    <w:rsid w:val="2F638820"/>
    <w:rsid w:val="2FE5F66B"/>
    <w:rsid w:val="2FE6F57E"/>
    <w:rsid w:val="310975EA"/>
    <w:rsid w:val="354E982A"/>
    <w:rsid w:val="35B11ACD"/>
    <w:rsid w:val="36CC4C22"/>
    <w:rsid w:val="371E5A2A"/>
    <w:rsid w:val="3771CE5A"/>
    <w:rsid w:val="379E94DD"/>
    <w:rsid w:val="37C5C365"/>
    <w:rsid w:val="39898F69"/>
    <w:rsid w:val="3A8776A6"/>
    <w:rsid w:val="3AA7B5C1"/>
    <w:rsid w:val="3ABE770C"/>
    <w:rsid w:val="3B93B47E"/>
    <w:rsid w:val="3C7F9487"/>
    <w:rsid w:val="3C8839DD"/>
    <w:rsid w:val="3CBE8C8F"/>
    <w:rsid w:val="3D174FDF"/>
    <w:rsid w:val="3D48E87B"/>
    <w:rsid w:val="3DFBF485"/>
    <w:rsid w:val="3F88EF6B"/>
    <w:rsid w:val="3F8A1FB3"/>
    <w:rsid w:val="408ECD25"/>
    <w:rsid w:val="410C9943"/>
    <w:rsid w:val="428C6591"/>
    <w:rsid w:val="43832801"/>
    <w:rsid w:val="44BD09D4"/>
    <w:rsid w:val="463BF9E3"/>
    <w:rsid w:val="467B4A55"/>
    <w:rsid w:val="48331209"/>
    <w:rsid w:val="4C574E98"/>
    <w:rsid w:val="50D82F5D"/>
    <w:rsid w:val="515F090F"/>
    <w:rsid w:val="52F3E4A4"/>
    <w:rsid w:val="566BA0C4"/>
    <w:rsid w:val="56854D96"/>
    <w:rsid w:val="57406557"/>
    <w:rsid w:val="57F701F9"/>
    <w:rsid w:val="59635B7C"/>
    <w:rsid w:val="598BCF00"/>
    <w:rsid w:val="59F55AAC"/>
    <w:rsid w:val="5A069C62"/>
    <w:rsid w:val="5B1AE36B"/>
    <w:rsid w:val="5C22B4DB"/>
    <w:rsid w:val="5E822C59"/>
    <w:rsid w:val="5EEBD7DA"/>
    <w:rsid w:val="5F67D4CD"/>
    <w:rsid w:val="5FDDA5C0"/>
    <w:rsid w:val="6135096A"/>
    <w:rsid w:val="61FC3BC5"/>
    <w:rsid w:val="624DAB6B"/>
    <w:rsid w:val="62D56E0C"/>
    <w:rsid w:val="62DE5C5D"/>
    <w:rsid w:val="62EA3DF8"/>
    <w:rsid w:val="631CD2DA"/>
    <w:rsid w:val="64042DCD"/>
    <w:rsid w:val="6577A166"/>
    <w:rsid w:val="6665F276"/>
    <w:rsid w:val="66B5E230"/>
    <w:rsid w:val="67490547"/>
    <w:rsid w:val="67AB1463"/>
    <w:rsid w:val="6A0601D0"/>
    <w:rsid w:val="6A1B0CA8"/>
    <w:rsid w:val="6AA86D80"/>
    <w:rsid w:val="6B2B4FE4"/>
    <w:rsid w:val="6B3A6A34"/>
    <w:rsid w:val="6B53BA2D"/>
    <w:rsid w:val="6B684B65"/>
    <w:rsid w:val="6B777B58"/>
    <w:rsid w:val="6C3AAE71"/>
    <w:rsid w:val="6EEC3DEF"/>
    <w:rsid w:val="6F93B290"/>
    <w:rsid w:val="701C9BBE"/>
    <w:rsid w:val="70305773"/>
    <w:rsid w:val="7110122C"/>
    <w:rsid w:val="719C41D1"/>
    <w:rsid w:val="737C97AB"/>
    <w:rsid w:val="738F79F2"/>
    <w:rsid w:val="73A4FC07"/>
    <w:rsid w:val="73B2B32D"/>
    <w:rsid w:val="752C0B61"/>
    <w:rsid w:val="759D099A"/>
    <w:rsid w:val="768D10AC"/>
    <w:rsid w:val="76F152E7"/>
    <w:rsid w:val="7745EA0D"/>
    <w:rsid w:val="77483FB3"/>
    <w:rsid w:val="77E9C2B8"/>
    <w:rsid w:val="78C0FC3B"/>
    <w:rsid w:val="7A193011"/>
    <w:rsid w:val="7A5EAA0B"/>
    <w:rsid w:val="7B0ED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58999"/>
  <w15:chartTrackingRefBased/>
  <w15:docId w15:val="{1EAC8232-F653-45AE-A3A6-4AED8F09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1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1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1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1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1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1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1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1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5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5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DC9"/>
  </w:style>
  <w:style w:type="paragraph" w:styleId="Footer">
    <w:name w:val="footer"/>
    <w:basedOn w:val="Normal"/>
    <w:link w:val="FooterChar"/>
    <w:uiPriority w:val="99"/>
    <w:unhideWhenUsed/>
    <w:rsid w:val="00656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DC9"/>
  </w:style>
  <w:style w:type="paragraph" w:styleId="Revision">
    <w:name w:val="Revision"/>
    <w:hidden/>
    <w:uiPriority w:val="99"/>
    <w:semiHidden/>
    <w:rsid w:val="00E634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4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6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Francis</dc:creator>
  <cp:keywords/>
  <dc:description/>
  <cp:lastModifiedBy>Gillian Francis</cp:lastModifiedBy>
  <cp:revision>2</cp:revision>
  <dcterms:created xsi:type="dcterms:W3CDTF">2025-11-07T14:43:00Z</dcterms:created>
  <dcterms:modified xsi:type="dcterms:W3CDTF">2025-11-07T14:43:00Z</dcterms:modified>
</cp:coreProperties>
</file>