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D6F2" w14:textId="22055B92" w:rsidR="00FB191F" w:rsidRPr="00FB191F" w:rsidRDefault="00113BBE" w:rsidP="00C32911">
      <w:pPr>
        <w:spacing w:after="0" w:line="240" w:lineRule="auto"/>
        <w:jc w:val="center"/>
        <w:rPr>
          <w:rFonts w:ascii="Arial" w:hAnsi="Arial" w:cs="Arial"/>
          <w:b/>
          <w:bCs/>
          <w:sz w:val="44"/>
          <w:szCs w:val="44"/>
        </w:rPr>
      </w:pPr>
      <w:r w:rsidRPr="00541952">
        <w:rPr>
          <w:rFonts w:ascii="Arial" w:hAnsi="Arial" w:cs="Arial"/>
          <w:noProof/>
          <w:sz w:val="44"/>
          <w:szCs w:val="44"/>
        </w:rPr>
        <w:drawing>
          <wp:anchor distT="0" distB="0" distL="114300" distR="114300" simplePos="0" relativeHeight="251658240" behindDoc="0" locked="0" layoutInCell="1" allowOverlap="1" wp14:anchorId="48929735" wp14:editId="7C99765D">
            <wp:simplePos x="2522220" y="647700"/>
            <wp:positionH relativeFrom="margin">
              <wp:align>left</wp:align>
            </wp:positionH>
            <wp:positionV relativeFrom="margin">
              <wp:align>top</wp:align>
            </wp:positionV>
            <wp:extent cx="809330" cy="807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5" cstate="print">
                      <a:extLst>
                        <a:ext uri="{28A0092B-C50C-407E-A947-70E740481C1C}">
                          <a14:useLocalDpi xmlns:a14="http://schemas.microsoft.com/office/drawing/2010/main" val="0"/>
                        </a:ext>
                      </a:extLst>
                    </a:blip>
                    <a:srcRect l="4718" r="5641" b="2022"/>
                    <a:stretch/>
                  </pic:blipFill>
                  <pic:spPr bwMode="auto">
                    <a:xfrm>
                      <a:off x="0" y="0"/>
                      <a:ext cx="809330" cy="807720"/>
                    </a:xfrm>
                    <a:prstGeom prst="rect">
                      <a:avLst/>
                    </a:prstGeom>
                    <a:ln>
                      <a:noFill/>
                    </a:ln>
                    <a:extLst>
                      <a:ext uri="{53640926-AAD7-44D8-BBD7-CCE9431645EC}">
                        <a14:shadowObscured xmlns:a14="http://schemas.microsoft.com/office/drawing/2010/main"/>
                      </a:ext>
                    </a:extLst>
                  </pic:spPr>
                </pic:pic>
              </a:graphicData>
            </a:graphic>
          </wp:anchor>
        </w:drawing>
      </w:r>
      <w:r w:rsidR="00FB191F" w:rsidRPr="00FB191F">
        <w:rPr>
          <w:rFonts w:ascii="Arial" w:hAnsi="Arial" w:cs="Arial"/>
          <w:b/>
          <w:bCs/>
          <w:sz w:val="44"/>
          <w:szCs w:val="44"/>
        </w:rPr>
        <w:t>Terms of Reference (T</w:t>
      </w:r>
      <w:r w:rsidRPr="00541952">
        <w:rPr>
          <w:rFonts w:ascii="Arial" w:hAnsi="Arial" w:cs="Arial"/>
          <w:b/>
          <w:bCs/>
          <w:sz w:val="44"/>
          <w:szCs w:val="44"/>
        </w:rPr>
        <w:t>O</w:t>
      </w:r>
      <w:r w:rsidR="00FB191F" w:rsidRPr="00FB191F">
        <w:rPr>
          <w:rFonts w:ascii="Arial" w:hAnsi="Arial" w:cs="Arial"/>
          <w:b/>
          <w:bCs/>
          <w:sz w:val="44"/>
          <w:szCs w:val="44"/>
        </w:rPr>
        <w:t>R)</w:t>
      </w:r>
    </w:p>
    <w:p w14:paraId="6A74094F" w14:textId="77777777" w:rsidR="00FB191F" w:rsidRPr="00541952" w:rsidRDefault="00FB191F" w:rsidP="00C32911">
      <w:pPr>
        <w:spacing w:after="0" w:line="240" w:lineRule="auto"/>
        <w:jc w:val="center"/>
        <w:rPr>
          <w:rFonts w:ascii="Arial" w:hAnsi="Arial" w:cs="Arial"/>
          <w:b/>
          <w:bCs/>
          <w:sz w:val="44"/>
          <w:szCs w:val="44"/>
        </w:rPr>
      </w:pPr>
      <w:r w:rsidRPr="00FB191F">
        <w:rPr>
          <w:rFonts w:ascii="Arial" w:hAnsi="Arial" w:cs="Arial"/>
          <w:b/>
          <w:bCs/>
          <w:sz w:val="44"/>
          <w:szCs w:val="44"/>
        </w:rPr>
        <w:t>Disabilities Champion</w:t>
      </w:r>
    </w:p>
    <w:p w14:paraId="3C9654CB" w14:textId="77777777" w:rsidR="00113BBE" w:rsidRPr="00FB191F" w:rsidRDefault="00113BBE" w:rsidP="00C32911">
      <w:pPr>
        <w:spacing w:after="0" w:line="240" w:lineRule="auto"/>
        <w:jc w:val="center"/>
        <w:rPr>
          <w:rFonts w:ascii="Arial" w:hAnsi="Arial" w:cs="Arial"/>
          <w:b/>
          <w:bCs/>
          <w:sz w:val="28"/>
          <w:szCs w:val="28"/>
        </w:rPr>
      </w:pPr>
    </w:p>
    <w:p w14:paraId="0095FE3C"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1. Purpose of the Role</w:t>
      </w:r>
    </w:p>
    <w:p w14:paraId="1546F1CE" w14:textId="77777777" w:rsidR="00FB191F" w:rsidRPr="00541952" w:rsidRDefault="00FB191F" w:rsidP="00FB191F">
      <w:pPr>
        <w:spacing w:after="0" w:line="240" w:lineRule="auto"/>
        <w:rPr>
          <w:rFonts w:ascii="Arial" w:hAnsi="Arial" w:cs="Arial"/>
          <w:sz w:val="22"/>
          <w:szCs w:val="22"/>
        </w:rPr>
      </w:pPr>
      <w:r w:rsidRPr="00FB191F">
        <w:rPr>
          <w:rFonts w:ascii="Arial" w:hAnsi="Arial" w:cs="Arial"/>
          <w:sz w:val="22"/>
          <w:szCs w:val="22"/>
        </w:rPr>
        <w:t>The Disabilities Champion is responsible for promoting, embedding, and safeguarding disability inclusion, accessibility, and equity across the organisation. The role provides strategic leadership, advocacy, and oversight to ensure that policies, practices, services, and workplaces are inclusive of people with disabilities and aligned with legal, regulatory, and best</w:t>
      </w:r>
      <w:r w:rsidRPr="00FB191F">
        <w:rPr>
          <w:rFonts w:ascii="Arial" w:hAnsi="Arial" w:cs="Arial"/>
          <w:sz w:val="22"/>
          <w:szCs w:val="22"/>
        </w:rPr>
        <w:noBreakHyphen/>
        <w:t>practice standards.</w:t>
      </w:r>
    </w:p>
    <w:p w14:paraId="68908DAB" w14:textId="77777777" w:rsidR="00BA25D9" w:rsidRPr="00FB191F" w:rsidRDefault="00BA25D9" w:rsidP="00FB191F">
      <w:pPr>
        <w:spacing w:after="0" w:line="240" w:lineRule="auto"/>
        <w:rPr>
          <w:rFonts w:ascii="Arial" w:hAnsi="Arial" w:cs="Arial"/>
          <w:sz w:val="22"/>
          <w:szCs w:val="22"/>
        </w:rPr>
      </w:pPr>
    </w:p>
    <w:p w14:paraId="5DB7338B"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2. Scope of the Role</w:t>
      </w:r>
    </w:p>
    <w:p w14:paraId="58413A51" w14:textId="77777777" w:rsidR="00FB191F" w:rsidRPr="00541952" w:rsidRDefault="00FB191F" w:rsidP="00FB191F">
      <w:pPr>
        <w:spacing w:after="0" w:line="240" w:lineRule="auto"/>
        <w:rPr>
          <w:rFonts w:ascii="Arial" w:hAnsi="Arial" w:cs="Arial"/>
          <w:sz w:val="22"/>
          <w:szCs w:val="22"/>
        </w:rPr>
      </w:pPr>
      <w:r w:rsidRPr="00FB191F">
        <w:rPr>
          <w:rFonts w:ascii="Arial" w:hAnsi="Arial" w:cs="Arial"/>
          <w:sz w:val="22"/>
          <w:szCs w:val="22"/>
        </w:rPr>
        <w:t>The Disabilities Champion operates across all functions of the organisation, influencing decision</w:t>
      </w:r>
      <w:r w:rsidRPr="00FB191F">
        <w:rPr>
          <w:rFonts w:ascii="Arial" w:hAnsi="Arial" w:cs="Arial"/>
          <w:sz w:val="22"/>
          <w:szCs w:val="22"/>
        </w:rPr>
        <w:noBreakHyphen/>
        <w:t>making at strategic and operational levels. The role applies to employees, service users, stakeholders, and partners, with a focus on removing barriers and advancing inclusive participation.</w:t>
      </w:r>
    </w:p>
    <w:p w14:paraId="35D2B559" w14:textId="77777777" w:rsidR="00BA25D9" w:rsidRPr="00FB191F" w:rsidRDefault="00BA25D9" w:rsidP="00FB191F">
      <w:pPr>
        <w:spacing w:after="0" w:line="240" w:lineRule="auto"/>
        <w:rPr>
          <w:rFonts w:ascii="Arial" w:hAnsi="Arial" w:cs="Arial"/>
          <w:sz w:val="22"/>
          <w:szCs w:val="22"/>
        </w:rPr>
      </w:pPr>
    </w:p>
    <w:p w14:paraId="59671D46"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3. Key Responsibilities</w:t>
      </w:r>
    </w:p>
    <w:p w14:paraId="63DAFD30"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3.1 Leadership and Advocacy</w:t>
      </w:r>
    </w:p>
    <w:p w14:paraId="633016D1" w14:textId="77777777" w:rsidR="00FB191F" w:rsidRPr="00FB191F" w:rsidRDefault="00FB191F" w:rsidP="00FB191F">
      <w:pPr>
        <w:numPr>
          <w:ilvl w:val="0"/>
          <w:numId w:val="1"/>
        </w:numPr>
        <w:spacing w:after="0" w:line="240" w:lineRule="auto"/>
        <w:rPr>
          <w:rFonts w:ascii="Arial" w:hAnsi="Arial" w:cs="Arial"/>
          <w:sz w:val="22"/>
          <w:szCs w:val="22"/>
        </w:rPr>
      </w:pPr>
      <w:r w:rsidRPr="00FB191F">
        <w:rPr>
          <w:rFonts w:ascii="Arial" w:hAnsi="Arial" w:cs="Arial"/>
          <w:sz w:val="22"/>
          <w:szCs w:val="22"/>
        </w:rPr>
        <w:t>Act as a visible advocate for disability inclusion and accessibility.</w:t>
      </w:r>
    </w:p>
    <w:p w14:paraId="46E83DD8" w14:textId="77777777" w:rsidR="00FB191F" w:rsidRPr="00FB191F" w:rsidRDefault="00FB191F" w:rsidP="00FB191F">
      <w:pPr>
        <w:numPr>
          <w:ilvl w:val="0"/>
          <w:numId w:val="1"/>
        </w:numPr>
        <w:spacing w:after="0" w:line="240" w:lineRule="auto"/>
        <w:rPr>
          <w:rFonts w:ascii="Arial" w:hAnsi="Arial" w:cs="Arial"/>
          <w:sz w:val="22"/>
          <w:szCs w:val="22"/>
        </w:rPr>
      </w:pPr>
      <w:r w:rsidRPr="00FB191F">
        <w:rPr>
          <w:rFonts w:ascii="Arial" w:hAnsi="Arial" w:cs="Arial"/>
          <w:sz w:val="22"/>
          <w:szCs w:val="22"/>
        </w:rPr>
        <w:t>Champion the rights, voices, and lived experiences of people with disabilities.</w:t>
      </w:r>
    </w:p>
    <w:p w14:paraId="56997337" w14:textId="77777777" w:rsidR="00FB191F" w:rsidRPr="00FB191F" w:rsidRDefault="00FB191F" w:rsidP="00FB191F">
      <w:pPr>
        <w:numPr>
          <w:ilvl w:val="0"/>
          <w:numId w:val="1"/>
        </w:numPr>
        <w:spacing w:after="0" w:line="240" w:lineRule="auto"/>
        <w:rPr>
          <w:rFonts w:ascii="Arial" w:hAnsi="Arial" w:cs="Arial"/>
          <w:sz w:val="22"/>
          <w:szCs w:val="22"/>
        </w:rPr>
      </w:pPr>
      <w:r w:rsidRPr="00FB191F">
        <w:rPr>
          <w:rFonts w:ascii="Arial" w:hAnsi="Arial" w:cs="Arial"/>
          <w:sz w:val="22"/>
          <w:szCs w:val="22"/>
        </w:rPr>
        <w:t>Promote a positive organisational culture that values diversity, equity, and inclusion.</w:t>
      </w:r>
    </w:p>
    <w:p w14:paraId="57E5E676"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3.2 Strategy and Policy</w:t>
      </w:r>
    </w:p>
    <w:p w14:paraId="29C722C5" w14:textId="77777777" w:rsidR="00FB191F" w:rsidRPr="00FB191F" w:rsidRDefault="00FB191F" w:rsidP="00FB191F">
      <w:pPr>
        <w:numPr>
          <w:ilvl w:val="0"/>
          <w:numId w:val="2"/>
        </w:numPr>
        <w:spacing w:after="0" w:line="240" w:lineRule="auto"/>
        <w:rPr>
          <w:rFonts w:ascii="Arial" w:hAnsi="Arial" w:cs="Arial"/>
          <w:sz w:val="22"/>
          <w:szCs w:val="22"/>
        </w:rPr>
      </w:pPr>
      <w:r w:rsidRPr="00FB191F">
        <w:rPr>
          <w:rFonts w:ascii="Arial" w:hAnsi="Arial" w:cs="Arial"/>
          <w:sz w:val="22"/>
          <w:szCs w:val="22"/>
        </w:rPr>
        <w:t>Support the development, implementation, and review of disability inclusion strategies and action plans.</w:t>
      </w:r>
    </w:p>
    <w:p w14:paraId="578DBA9A" w14:textId="77777777" w:rsidR="00FB191F" w:rsidRPr="00FB191F" w:rsidRDefault="00FB191F" w:rsidP="00FB191F">
      <w:pPr>
        <w:numPr>
          <w:ilvl w:val="0"/>
          <w:numId w:val="2"/>
        </w:numPr>
        <w:spacing w:after="0" w:line="240" w:lineRule="auto"/>
        <w:rPr>
          <w:rFonts w:ascii="Arial" w:hAnsi="Arial" w:cs="Arial"/>
          <w:sz w:val="22"/>
          <w:szCs w:val="22"/>
        </w:rPr>
      </w:pPr>
      <w:r w:rsidRPr="00FB191F">
        <w:rPr>
          <w:rFonts w:ascii="Arial" w:hAnsi="Arial" w:cs="Arial"/>
          <w:sz w:val="22"/>
          <w:szCs w:val="22"/>
        </w:rPr>
        <w:t>Advise senior leadership on disability</w:t>
      </w:r>
      <w:r w:rsidRPr="00FB191F">
        <w:rPr>
          <w:rFonts w:ascii="Arial" w:hAnsi="Arial" w:cs="Arial"/>
          <w:sz w:val="22"/>
          <w:szCs w:val="22"/>
        </w:rPr>
        <w:noBreakHyphen/>
        <w:t>related risks, opportunities, and priorities.</w:t>
      </w:r>
    </w:p>
    <w:p w14:paraId="733C9A62" w14:textId="77777777" w:rsidR="00FB191F" w:rsidRPr="00FB191F" w:rsidRDefault="00FB191F" w:rsidP="00FB191F">
      <w:pPr>
        <w:numPr>
          <w:ilvl w:val="0"/>
          <w:numId w:val="2"/>
        </w:numPr>
        <w:spacing w:after="0" w:line="240" w:lineRule="auto"/>
        <w:rPr>
          <w:rFonts w:ascii="Arial" w:hAnsi="Arial" w:cs="Arial"/>
          <w:sz w:val="22"/>
          <w:szCs w:val="22"/>
        </w:rPr>
      </w:pPr>
      <w:r w:rsidRPr="00FB191F">
        <w:rPr>
          <w:rFonts w:ascii="Arial" w:hAnsi="Arial" w:cs="Arial"/>
          <w:sz w:val="22"/>
          <w:szCs w:val="22"/>
        </w:rPr>
        <w:t>Ensure disability considerations are embedded into organisational policies, programs, and projects.</w:t>
      </w:r>
    </w:p>
    <w:p w14:paraId="76FB85C7"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3.3 Accessibility and Reasonable Adjustments</w:t>
      </w:r>
    </w:p>
    <w:p w14:paraId="2A481DF4" w14:textId="77777777" w:rsidR="00FB191F" w:rsidRPr="00FB191F" w:rsidRDefault="00FB191F" w:rsidP="00FB191F">
      <w:pPr>
        <w:numPr>
          <w:ilvl w:val="0"/>
          <w:numId w:val="3"/>
        </w:numPr>
        <w:spacing w:after="0" w:line="240" w:lineRule="auto"/>
        <w:rPr>
          <w:rFonts w:ascii="Arial" w:hAnsi="Arial" w:cs="Arial"/>
          <w:sz w:val="22"/>
          <w:szCs w:val="22"/>
        </w:rPr>
      </w:pPr>
      <w:r w:rsidRPr="00FB191F">
        <w:rPr>
          <w:rFonts w:ascii="Arial" w:hAnsi="Arial" w:cs="Arial"/>
          <w:sz w:val="22"/>
          <w:szCs w:val="22"/>
        </w:rPr>
        <w:t>Promote universal design and accessible practices across physical, digital, and communication environments.</w:t>
      </w:r>
    </w:p>
    <w:p w14:paraId="2BB1DA75" w14:textId="77777777" w:rsidR="00FB191F" w:rsidRPr="00FB191F" w:rsidRDefault="00FB191F" w:rsidP="00FB191F">
      <w:pPr>
        <w:numPr>
          <w:ilvl w:val="0"/>
          <w:numId w:val="3"/>
        </w:numPr>
        <w:spacing w:after="0" w:line="240" w:lineRule="auto"/>
        <w:rPr>
          <w:rFonts w:ascii="Arial" w:hAnsi="Arial" w:cs="Arial"/>
          <w:sz w:val="22"/>
          <w:szCs w:val="22"/>
        </w:rPr>
      </w:pPr>
      <w:r w:rsidRPr="00FB191F">
        <w:rPr>
          <w:rFonts w:ascii="Arial" w:hAnsi="Arial" w:cs="Arial"/>
          <w:sz w:val="22"/>
          <w:szCs w:val="22"/>
        </w:rPr>
        <w:t>Advocate for timely, appropriate, and effective reasonable adjustments for employees and service users.</w:t>
      </w:r>
    </w:p>
    <w:p w14:paraId="6116728C" w14:textId="77777777" w:rsidR="00FB191F" w:rsidRPr="00FB191F" w:rsidRDefault="00FB191F" w:rsidP="00FB191F">
      <w:pPr>
        <w:numPr>
          <w:ilvl w:val="0"/>
          <w:numId w:val="3"/>
        </w:numPr>
        <w:spacing w:after="0" w:line="240" w:lineRule="auto"/>
        <w:rPr>
          <w:rFonts w:ascii="Arial" w:hAnsi="Arial" w:cs="Arial"/>
          <w:sz w:val="22"/>
          <w:szCs w:val="22"/>
        </w:rPr>
      </w:pPr>
      <w:r w:rsidRPr="00FB191F">
        <w:rPr>
          <w:rFonts w:ascii="Arial" w:hAnsi="Arial" w:cs="Arial"/>
          <w:sz w:val="22"/>
          <w:szCs w:val="22"/>
        </w:rPr>
        <w:t>Monitor systemic barriers and recommend practical solutions.</w:t>
      </w:r>
    </w:p>
    <w:p w14:paraId="35355FF8"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3.4 Engagement and Consultation</w:t>
      </w:r>
    </w:p>
    <w:p w14:paraId="5BAF7147" w14:textId="77777777" w:rsidR="00FB191F" w:rsidRPr="00FB191F" w:rsidRDefault="00FB191F" w:rsidP="00FB191F">
      <w:pPr>
        <w:numPr>
          <w:ilvl w:val="0"/>
          <w:numId w:val="4"/>
        </w:numPr>
        <w:spacing w:after="0" w:line="240" w:lineRule="auto"/>
        <w:rPr>
          <w:rFonts w:ascii="Arial" w:hAnsi="Arial" w:cs="Arial"/>
          <w:sz w:val="22"/>
          <w:szCs w:val="22"/>
        </w:rPr>
      </w:pPr>
      <w:r w:rsidRPr="00FB191F">
        <w:rPr>
          <w:rFonts w:ascii="Arial" w:hAnsi="Arial" w:cs="Arial"/>
          <w:sz w:val="22"/>
          <w:szCs w:val="22"/>
        </w:rPr>
        <w:t>Engage with employees with disabilities, disability employee networks, and representative groups.</w:t>
      </w:r>
    </w:p>
    <w:p w14:paraId="749995DE" w14:textId="77777777" w:rsidR="00FB191F" w:rsidRPr="00FB191F" w:rsidRDefault="00FB191F" w:rsidP="00FB191F">
      <w:pPr>
        <w:numPr>
          <w:ilvl w:val="0"/>
          <w:numId w:val="4"/>
        </w:numPr>
        <w:spacing w:after="0" w:line="240" w:lineRule="auto"/>
        <w:rPr>
          <w:rFonts w:ascii="Arial" w:hAnsi="Arial" w:cs="Arial"/>
          <w:sz w:val="22"/>
          <w:szCs w:val="22"/>
        </w:rPr>
      </w:pPr>
      <w:r w:rsidRPr="00FB191F">
        <w:rPr>
          <w:rFonts w:ascii="Arial" w:hAnsi="Arial" w:cs="Arial"/>
          <w:sz w:val="22"/>
          <w:szCs w:val="22"/>
        </w:rPr>
        <w:t>Facilitate meaningful consultation with people with lived experience of disability.</w:t>
      </w:r>
    </w:p>
    <w:p w14:paraId="43176720" w14:textId="77777777" w:rsidR="00FB191F" w:rsidRPr="00FB191F" w:rsidRDefault="00FB191F" w:rsidP="00FB191F">
      <w:pPr>
        <w:numPr>
          <w:ilvl w:val="0"/>
          <w:numId w:val="4"/>
        </w:numPr>
        <w:spacing w:after="0" w:line="240" w:lineRule="auto"/>
        <w:rPr>
          <w:rFonts w:ascii="Arial" w:hAnsi="Arial" w:cs="Arial"/>
          <w:sz w:val="22"/>
          <w:szCs w:val="22"/>
        </w:rPr>
      </w:pPr>
      <w:r w:rsidRPr="00FB191F">
        <w:rPr>
          <w:rFonts w:ascii="Arial" w:hAnsi="Arial" w:cs="Arial"/>
          <w:sz w:val="22"/>
          <w:szCs w:val="22"/>
        </w:rPr>
        <w:t>Build relationships with external disability organisations, advocates, and regulators where appropriate.</w:t>
      </w:r>
    </w:p>
    <w:p w14:paraId="73DC0BAA"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3.5 Monitoring, Reporting, and Assurance</w:t>
      </w:r>
    </w:p>
    <w:p w14:paraId="5BB87F2E" w14:textId="77777777" w:rsidR="00FB191F" w:rsidRPr="00FB191F" w:rsidRDefault="00FB191F" w:rsidP="00FB191F">
      <w:pPr>
        <w:numPr>
          <w:ilvl w:val="0"/>
          <w:numId w:val="5"/>
        </w:numPr>
        <w:spacing w:after="0" w:line="240" w:lineRule="auto"/>
        <w:rPr>
          <w:rFonts w:ascii="Arial" w:hAnsi="Arial" w:cs="Arial"/>
          <w:sz w:val="22"/>
          <w:szCs w:val="22"/>
        </w:rPr>
      </w:pPr>
      <w:r w:rsidRPr="00FB191F">
        <w:rPr>
          <w:rFonts w:ascii="Arial" w:hAnsi="Arial" w:cs="Arial"/>
          <w:sz w:val="22"/>
          <w:szCs w:val="22"/>
        </w:rPr>
        <w:t>Monitor progress against disability inclusion commitments and relevant KPIs.</w:t>
      </w:r>
    </w:p>
    <w:p w14:paraId="4FF3DC74" w14:textId="77777777" w:rsidR="00FB191F" w:rsidRPr="00FB191F" w:rsidRDefault="00FB191F" w:rsidP="00FB191F">
      <w:pPr>
        <w:numPr>
          <w:ilvl w:val="0"/>
          <w:numId w:val="5"/>
        </w:numPr>
        <w:spacing w:after="0" w:line="240" w:lineRule="auto"/>
        <w:rPr>
          <w:rFonts w:ascii="Arial" w:hAnsi="Arial" w:cs="Arial"/>
          <w:sz w:val="22"/>
          <w:szCs w:val="22"/>
        </w:rPr>
      </w:pPr>
      <w:r w:rsidRPr="00FB191F">
        <w:rPr>
          <w:rFonts w:ascii="Arial" w:hAnsi="Arial" w:cs="Arial"/>
          <w:sz w:val="22"/>
          <w:szCs w:val="22"/>
        </w:rPr>
        <w:lastRenderedPageBreak/>
        <w:t>Provide periodic reports and recommendations to senior leadership or governing bodies.</w:t>
      </w:r>
    </w:p>
    <w:p w14:paraId="595D38B0" w14:textId="77777777" w:rsidR="00FB191F" w:rsidRPr="00FB191F" w:rsidRDefault="00FB191F" w:rsidP="00FB191F">
      <w:pPr>
        <w:numPr>
          <w:ilvl w:val="0"/>
          <w:numId w:val="5"/>
        </w:numPr>
        <w:spacing w:after="0" w:line="240" w:lineRule="auto"/>
        <w:rPr>
          <w:rFonts w:ascii="Arial" w:hAnsi="Arial" w:cs="Arial"/>
          <w:sz w:val="22"/>
          <w:szCs w:val="22"/>
        </w:rPr>
      </w:pPr>
      <w:r w:rsidRPr="00FB191F">
        <w:rPr>
          <w:rFonts w:ascii="Arial" w:hAnsi="Arial" w:cs="Arial"/>
          <w:sz w:val="22"/>
          <w:szCs w:val="22"/>
        </w:rPr>
        <w:t>Support compliance with applicable disability discrimination, accessibility, and human rights legislation.</w:t>
      </w:r>
    </w:p>
    <w:p w14:paraId="68549D03"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3.6 Capability Building and Awareness</w:t>
      </w:r>
    </w:p>
    <w:p w14:paraId="11187D92" w14:textId="77777777" w:rsidR="00FB191F" w:rsidRPr="00FB191F" w:rsidRDefault="00FB191F" w:rsidP="00FB191F">
      <w:pPr>
        <w:numPr>
          <w:ilvl w:val="0"/>
          <w:numId w:val="6"/>
        </w:numPr>
        <w:spacing w:after="0" w:line="240" w:lineRule="auto"/>
        <w:rPr>
          <w:rFonts w:ascii="Arial" w:hAnsi="Arial" w:cs="Arial"/>
          <w:sz w:val="22"/>
          <w:szCs w:val="22"/>
        </w:rPr>
      </w:pPr>
      <w:r w:rsidRPr="00FB191F">
        <w:rPr>
          <w:rFonts w:ascii="Arial" w:hAnsi="Arial" w:cs="Arial"/>
          <w:sz w:val="22"/>
          <w:szCs w:val="22"/>
        </w:rPr>
        <w:t>Promote disability awareness, confidence, and inclusive leadership across the organisation.</w:t>
      </w:r>
    </w:p>
    <w:p w14:paraId="7395F8B7" w14:textId="77777777" w:rsidR="00FB191F" w:rsidRPr="00FB191F" w:rsidRDefault="00FB191F" w:rsidP="00FB191F">
      <w:pPr>
        <w:numPr>
          <w:ilvl w:val="0"/>
          <w:numId w:val="6"/>
        </w:numPr>
        <w:spacing w:after="0" w:line="240" w:lineRule="auto"/>
        <w:rPr>
          <w:rFonts w:ascii="Arial" w:hAnsi="Arial" w:cs="Arial"/>
          <w:sz w:val="22"/>
          <w:szCs w:val="22"/>
        </w:rPr>
      </w:pPr>
      <w:r w:rsidRPr="00FB191F">
        <w:rPr>
          <w:rFonts w:ascii="Arial" w:hAnsi="Arial" w:cs="Arial"/>
          <w:sz w:val="22"/>
          <w:szCs w:val="22"/>
        </w:rPr>
        <w:t>Support training, guidance, and resources for managers and staff.</w:t>
      </w:r>
    </w:p>
    <w:p w14:paraId="5B738AE7" w14:textId="77777777" w:rsidR="00FB191F" w:rsidRPr="00541952" w:rsidRDefault="00FB191F" w:rsidP="00FB191F">
      <w:pPr>
        <w:numPr>
          <w:ilvl w:val="0"/>
          <w:numId w:val="6"/>
        </w:numPr>
        <w:spacing w:after="0" w:line="240" w:lineRule="auto"/>
        <w:rPr>
          <w:rFonts w:ascii="Arial" w:hAnsi="Arial" w:cs="Arial"/>
          <w:sz w:val="22"/>
          <w:szCs w:val="22"/>
        </w:rPr>
      </w:pPr>
      <w:r w:rsidRPr="00FB191F">
        <w:rPr>
          <w:rFonts w:ascii="Arial" w:hAnsi="Arial" w:cs="Arial"/>
          <w:sz w:val="22"/>
          <w:szCs w:val="22"/>
        </w:rPr>
        <w:t>Encourage disability</w:t>
      </w:r>
      <w:r w:rsidRPr="00FB191F">
        <w:rPr>
          <w:rFonts w:ascii="Arial" w:hAnsi="Arial" w:cs="Arial"/>
          <w:sz w:val="22"/>
          <w:szCs w:val="22"/>
        </w:rPr>
        <w:noBreakHyphen/>
        <w:t>inclusive recruitment, retention, and career progression practices.</w:t>
      </w:r>
    </w:p>
    <w:p w14:paraId="2FFC625F" w14:textId="77777777" w:rsidR="00BA25D9" w:rsidRPr="00FB191F" w:rsidRDefault="00BA25D9" w:rsidP="00BA25D9">
      <w:pPr>
        <w:spacing w:after="0" w:line="240" w:lineRule="auto"/>
        <w:ind w:left="720"/>
        <w:rPr>
          <w:rFonts w:ascii="Arial" w:hAnsi="Arial" w:cs="Arial"/>
          <w:sz w:val="22"/>
          <w:szCs w:val="22"/>
        </w:rPr>
      </w:pPr>
    </w:p>
    <w:p w14:paraId="7AA494A9"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4. Authority and Decision</w:t>
      </w:r>
      <w:r w:rsidRPr="00FB191F">
        <w:rPr>
          <w:rFonts w:ascii="Arial" w:hAnsi="Arial" w:cs="Arial"/>
          <w:b/>
          <w:bCs/>
          <w:sz w:val="22"/>
          <w:szCs w:val="22"/>
        </w:rPr>
        <w:noBreakHyphen/>
        <w:t>Making</w:t>
      </w:r>
    </w:p>
    <w:p w14:paraId="16E801F2" w14:textId="77777777" w:rsidR="00FB191F" w:rsidRPr="00FB191F" w:rsidRDefault="00FB191F" w:rsidP="00FB191F">
      <w:pPr>
        <w:numPr>
          <w:ilvl w:val="0"/>
          <w:numId w:val="7"/>
        </w:numPr>
        <w:spacing w:after="0" w:line="240" w:lineRule="auto"/>
        <w:rPr>
          <w:rFonts w:ascii="Arial" w:hAnsi="Arial" w:cs="Arial"/>
          <w:sz w:val="22"/>
          <w:szCs w:val="22"/>
        </w:rPr>
      </w:pPr>
      <w:r w:rsidRPr="00FB191F">
        <w:rPr>
          <w:rFonts w:ascii="Arial" w:hAnsi="Arial" w:cs="Arial"/>
          <w:sz w:val="22"/>
          <w:szCs w:val="22"/>
        </w:rPr>
        <w:t>The Disabilities Champion has advisory authority and influence rather than direct line management responsibility.</w:t>
      </w:r>
    </w:p>
    <w:p w14:paraId="5D9F5FC7" w14:textId="77777777" w:rsidR="00FB191F" w:rsidRPr="00FB191F" w:rsidRDefault="00FB191F" w:rsidP="00FB191F">
      <w:pPr>
        <w:numPr>
          <w:ilvl w:val="0"/>
          <w:numId w:val="7"/>
        </w:numPr>
        <w:spacing w:after="0" w:line="240" w:lineRule="auto"/>
        <w:rPr>
          <w:rFonts w:ascii="Arial" w:hAnsi="Arial" w:cs="Arial"/>
          <w:sz w:val="22"/>
          <w:szCs w:val="22"/>
        </w:rPr>
      </w:pPr>
      <w:r w:rsidRPr="00FB191F">
        <w:rPr>
          <w:rFonts w:ascii="Arial" w:hAnsi="Arial" w:cs="Arial"/>
          <w:sz w:val="22"/>
          <w:szCs w:val="22"/>
        </w:rPr>
        <w:t>The role may escalate issues, risks, or systemic barriers to senior leadership or governance forums.</w:t>
      </w:r>
    </w:p>
    <w:p w14:paraId="462A3E58" w14:textId="77777777" w:rsidR="00FB191F" w:rsidRPr="00541952" w:rsidRDefault="00FB191F" w:rsidP="00FB191F">
      <w:pPr>
        <w:numPr>
          <w:ilvl w:val="0"/>
          <w:numId w:val="7"/>
        </w:numPr>
        <w:spacing w:after="0" w:line="240" w:lineRule="auto"/>
        <w:rPr>
          <w:rFonts w:ascii="Arial" w:hAnsi="Arial" w:cs="Arial"/>
          <w:sz w:val="22"/>
          <w:szCs w:val="22"/>
        </w:rPr>
      </w:pPr>
      <w:r w:rsidRPr="00FB191F">
        <w:rPr>
          <w:rFonts w:ascii="Arial" w:hAnsi="Arial" w:cs="Arial"/>
          <w:sz w:val="22"/>
          <w:szCs w:val="22"/>
        </w:rPr>
        <w:t>The Champion may recommend actions, priorities, and resource considerations related to disability inclusion.</w:t>
      </w:r>
    </w:p>
    <w:p w14:paraId="14AD6CED" w14:textId="77777777" w:rsidR="00BA25D9" w:rsidRPr="00FB191F" w:rsidRDefault="00BA25D9" w:rsidP="00BA25D9">
      <w:pPr>
        <w:spacing w:after="0" w:line="240" w:lineRule="auto"/>
        <w:ind w:left="720"/>
        <w:rPr>
          <w:rFonts w:ascii="Arial" w:hAnsi="Arial" w:cs="Arial"/>
          <w:sz w:val="22"/>
          <w:szCs w:val="22"/>
        </w:rPr>
      </w:pPr>
    </w:p>
    <w:p w14:paraId="5DA682C5" w14:textId="77777777" w:rsidR="00FB191F"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5. Governance and Reporting</w:t>
      </w:r>
    </w:p>
    <w:p w14:paraId="57F3A05F" w14:textId="77777777" w:rsidR="00FB191F" w:rsidRPr="00FB191F" w:rsidRDefault="00FB191F" w:rsidP="00FB191F">
      <w:pPr>
        <w:numPr>
          <w:ilvl w:val="0"/>
          <w:numId w:val="8"/>
        </w:numPr>
        <w:spacing w:after="0" w:line="240" w:lineRule="auto"/>
        <w:rPr>
          <w:rFonts w:ascii="Arial" w:hAnsi="Arial" w:cs="Arial"/>
          <w:sz w:val="22"/>
          <w:szCs w:val="22"/>
        </w:rPr>
      </w:pPr>
      <w:r w:rsidRPr="00FB191F">
        <w:rPr>
          <w:rFonts w:ascii="Arial" w:hAnsi="Arial" w:cs="Arial"/>
          <w:sz w:val="22"/>
          <w:szCs w:val="22"/>
        </w:rPr>
        <w:t>The Disabilities Champion reports to [insert role/committee].</w:t>
      </w:r>
    </w:p>
    <w:p w14:paraId="385C506D" w14:textId="77777777" w:rsidR="00FB191F" w:rsidRPr="00FB191F" w:rsidRDefault="00FB191F" w:rsidP="00FB191F">
      <w:pPr>
        <w:numPr>
          <w:ilvl w:val="0"/>
          <w:numId w:val="8"/>
        </w:numPr>
        <w:spacing w:after="0" w:line="240" w:lineRule="auto"/>
        <w:rPr>
          <w:rFonts w:ascii="Arial" w:hAnsi="Arial" w:cs="Arial"/>
          <w:sz w:val="22"/>
          <w:szCs w:val="22"/>
        </w:rPr>
      </w:pPr>
      <w:r w:rsidRPr="00FB191F">
        <w:rPr>
          <w:rFonts w:ascii="Arial" w:hAnsi="Arial" w:cs="Arial"/>
          <w:sz w:val="22"/>
          <w:szCs w:val="22"/>
        </w:rPr>
        <w:t>Regular updates will be provided at agreed intervals (e.g., quarterly).</w:t>
      </w:r>
    </w:p>
    <w:p w14:paraId="48863F5D" w14:textId="77777777" w:rsidR="00FB191F" w:rsidRPr="00541952" w:rsidRDefault="00FB191F" w:rsidP="00FB191F">
      <w:pPr>
        <w:numPr>
          <w:ilvl w:val="0"/>
          <w:numId w:val="8"/>
        </w:numPr>
        <w:spacing w:after="0" w:line="240" w:lineRule="auto"/>
        <w:rPr>
          <w:rFonts w:ascii="Arial" w:hAnsi="Arial" w:cs="Arial"/>
          <w:sz w:val="22"/>
          <w:szCs w:val="22"/>
        </w:rPr>
      </w:pPr>
      <w:r w:rsidRPr="00FB191F">
        <w:rPr>
          <w:rFonts w:ascii="Arial" w:hAnsi="Arial" w:cs="Arial"/>
          <w:sz w:val="22"/>
          <w:szCs w:val="22"/>
        </w:rPr>
        <w:t>The role will work closely with HR, DEI leads, WHS/Health &amp; Safety, Digital/IT, and Facilities teams.</w:t>
      </w:r>
    </w:p>
    <w:p w14:paraId="008242BC" w14:textId="77777777" w:rsidR="00BA25D9" w:rsidRPr="00FB191F" w:rsidRDefault="00BA25D9" w:rsidP="00BA25D9">
      <w:pPr>
        <w:spacing w:after="0" w:line="240" w:lineRule="auto"/>
        <w:ind w:left="720"/>
        <w:rPr>
          <w:rFonts w:ascii="Arial" w:hAnsi="Arial" w:cs="Arial"/>
          <w:sz w:val="22"/>
          <w:szCs w:val="22"/>
        </w:rPr>
      </w:pPr>
    </w:p>
    <w:p w14:paraId="3E3B7EA6" w14:textId="0B768B29" w:rsidR="00541952" w:rsidRPr="00FB191F" w:rsidRDefault="00FB191F" w:rsidP="00FB191F">
      <w:pPr>
        <w:spacing w:after="0" w:line="240" w:lineRule="auto"/>
        <w:rPr>
          <w:rFonts w:ascii="Arial" w:hAnsi="Arial" w:cs="Arial"/>
          <w:b/>
          <w:bCs/>
          <w:sz w:val="22"/>
          <w:szCs w:val="22"/>
        </w:rPr>
      </w:pPr>
      <w:r w:rsidRPr="00FB191F">
        <w:rPr>
          <w:rFonts w:ascii="Arial" w:hAnsi="Arial" w:cs="Arial"/>
          <w:b/>
          <w:bCs/>
          <w:sz w:val="22"/>
          <w:szCs w:val="22"/>
        </w:rPr>
        <w:t>6. Skills, Experience, and Attributes</w:t>
      </w:r>
    </w:p>
    <w:p w14:paraId="7A5BA1EB" w14:textId="77777777" w:rsidR="00FB191F" w:rsidRPr="00FB191F" w:rsidRDefault="00FB191F" w:rsidP="00FB191F">
      <w:pPr>
        <w:numPr>
          <w:ilvl w:val="0"/>
          <w:numId w:val="9"/>
        </w:numPr>
        <w:spacing w:after="0" w:line="240" w:lineRule="auto"/>
        <w:rPr>
          <w:rFonts w:ascii="Arial" w:hAnsi="Arial" w:cs="Arial"/>
          <w:sz w:val="22"/>
          <w:szCs w:val="22"/>
        </w:rPr>
      </w:pPr>
      <w:r w:rsidRPr="00FB191F">
        <w:rPr>
          <w:rFonts w:ascii="Arial" w:hAnsi="Arial" w:cs="Arial"/>
          <w:sz w:val="22"/>
          <w:szCs w:val="22"/>
        </w:rPr>
        <w:t>Demonstrated commitment to disability inclusion and equity.</w:t>
      </w:r>
    </w:p>
    <w:p w14:paraId="285FA896" w14:textId="77777777" w:rsidR="00FB191F" w:rsidRPr="00FB191F" w:rsidRDefault="00FB191F" w:rsidP="00FB191F">
      <w:pPr>
        <w:numPr>
          <w:ilvl w:val="0"/>
          <w:numId w:val="9"/>
        </w:numPr>
        <w:spacing w:after="0" w:line="240" w:lineRule="auto"/>
        <w:rPr>
          <w:rFonts w:ascii="Arial" w:hAnsi="Arial" w:cs="Arial"/>
          <w:sz w:val="22"/>
          <w:szCs w:val="22"/>
        </w:rPr>
      </w:pPr>
      <w:r w:rsidRPr="00FB191F">
        <w:rPr>
          <w:rFonts w:ascii="Arial" w:hAnsi="Arial" w:cs="Arial"/>
          <w:sz w:val="22"/>
          <w:szCs w:val="22"/>
        </w:rPr>
        <w:t>Strong understanding of disability, accessibility, and reasonable adjustment principles.</w:t>
      </w:r>
    </w:p>
    <w:p w14:paraId="78D351D7" w14:textId="77777777" w:rsidR="00FB191F" w:rsidRPr="00FB191F" w:rsidRDefault="00FB191F" w:rsidP="00FB191F">
      <w:pPr>
        <w:numPr>
          <w:ilvl w:val="0"/>
          <w:numId w:val="9"/>
        </w:numPr>
        <w:spacing w:after="0" w:line="240" w:lineRule="auto"/>
        <w:rPr>
          <w:rFonts w:ascii="Arial" w:hAnsi="Arial" w:cs="Arial"/>
          <w:sz w:val="22"/>
          <w:szCs w:val="22"/>
        </w:rPr>
      </w:pPr>
      <w:r w:rsidRPr="00FB191F">
        <w:rPr>
          <w:rFonts w:ascii="Arial" w:hAnsi="Arial" w:cs="Arial"/>
          <w:sz w:val="22"/>
          <w:szCs w:val="22"/>
        </w:rPr>
        <w:t>Credibility and influence at senior levels.</w:t>
      </w:r>
    </w:p>
    <w:p w14:paraId="5DF78CA8" w14:textId="77777777" w:rsidR="00FB191F" w:rsidRPr="00FB191F" w:rsidRDefault="00FB191F" w:rsidP="00FB191F">
      <w:pPr>
        <w:numPr>
          <w:ilvl w:val="0"/>
          <w:numId w:val="9"/>
        </w:numPr>
        <w:spacing w:after="0" w:line="240" w:lineRule="auto"/>
        <w:rPr>
          <w:rFonts w:ascii="Arial" w:hAnsi="Arial" w:cs="Arial"/>
          <w:sz w:val="22"/>
          <w:szCs w:val="22"/>
        </w:rPr>
      </w:pPr>
      <w:r w:rsidRPr="00FB191F">
        <w:rPr>
          <w:rFonts w:ascii="Arial" w:hAnsi="Arial" w:cs="Arial"/>
          <w:sz w:val="22"/>
          <w:szCs w:val="22"/>
        </w:rPr>
        <w:t>Excellent communication, advocacy, and stakeholder engagement skills.</w:t>
      </w:r>
    </w:p>
    <w:p w14:paraId="3E8AD8CE" w14:textId="77777777" w:rsidR="00541952" w:rsidRDefault="00FB191F" w:rsidP="00FB191F">
      <w:pPr>
        <w:numPr>
          <w:ilvl w:val="0"/>
          <w:numId w:val="9"/>
        </w:numPr>
        <w:spacing w:after="0" w:line="240" w:lineRule="auto"/>
        <w:rPr>
          <w:rFonts w:ascii="Arial" w:hAnsi="Arial" w:cs="Arial"/>
          <w:sz w:val="22"/>
          <w:szCs w:val="22"/>
        </w:rPr>
      </w:pPr>
      <w:r w:rsidRPr="00FB191F">
        <w:rPr>
          <w:rFonts w:ascii="Arial" w:hAnsi="Arial" w:cs="Arial"/>
          <w:sz w:val="22"/>
          <w:szCs w:val="22"/>
        </w:rPr>
        <w:t>Lived experience of disability is highly valued but not mandatory (depending on organisational context).</w:t>
      </w:r>
    </w:p>
    <w:p w14:paraId="38FB7F44" w14:textId="77777777" w:rsidR="00541952" w:rsidRDefault="00541952" w:rsidP="00541952">
      <w:pPr>
        <w:spacing w:after="0" w:line="240" w:lineRule="auto"/>
        <w:rPr>
          <w:rFonts w:ascii="Arial" w:hAnsi="Arial" w:cs="Arial"/>
          <w:sz w:val="22"/>
          <w:szCs w:val="22"/>
        </w:rPr>
      </w:pPr>
    </w:p>
    <w:p w14:paraId="021A8972" w14:textId="4C3F24C8" w:rsidR="00FB191F" w:rsidRPr="00541952" w:rsidRDefault="00541952" w:rsidP="00541952">
      <w:pPr>
        <w:spacing w:after="0" w:line="240" w:lineRule="auto"/>
        <w:rPr>
          <w:rFonts w:ascii="Arial" w:hAnsi="Arial" w:cs="Arial"/>
          <w:sz w:val="22"/>
          <w:szCs w:val="22"/>
        </w:rPr>
      </w:pPr>
      <w:r>
        <w:rPr>
          <w:rFonts w:ascii="Arial" w:hAnsi="Arial" w:cs="Arial"/>
          <w:b/>
          <w:bCs/>
          <w:sz w:val="22"/>
          <w:szCs w:val="22"/>
        </w:rPr>
        <w:t xml:space="preserve">7. </w:t>
      </w:r>
      <w:r w:rsidR="00FB191F" w:rsidRPr="00541952">
        <w:rPr>
          <w:rFonts w:ascii="Arial" w:hAnsi="Arial" w:cs="Arial"/>
          <w:b/>
          <w:bCs/>
          <w:sz w:val="22"/>
          <w:szCs w:val="22"/>
        </w:rPr>
        <w:t>Support and Resources</w:t>
      </w:r>
    </w:p>
    <w:p w14:paraId="4F17905D" w14:textId="77777777" w:rsidR="00FB191F" w:rsidRPr="00FB191F" w:rsidRDefault="00FB191F" w:rsidP="00FB191F">
      <w:pPr>
        <w:numPr>
          <w:ilvl w:val="0"/>
          <w:numId w:val="11"/>
        </w:numPr>
        <w:spacing w:after="0" w:line="240" w:lineRule="auto"/>
        <w:rPr>
          <w:rFonts w:ascii="Arial" w:hAnsi="Arial" w:cs="Arial"/>
          <w:sz w:val="22"/>
          <w:szCs w:val="22"/>
        </w:rPr>
      </w:pPr>
      <w:r w:rsidRPr="00FB191F">
        <w:rPr>
          <w:rFonts w:ascii="Arial" w:hAnsi="Arial" w:cs="Arial"/>
          <w:sz w:val="22"/>
          <w:szCs w:val="22"/>
        </w:rPr>
        <w:t>The organisation will provide appropriate administrative, analytical, and subject</w:t>
      </w:r>
      <w:r w:rsidRPr="00FB191F">
        <w:rPr>
          <w:rFonts w:ascii="Arial" w:hAnsi="Arial" w:cs="Arial"/>
          <w:sz w:val="22"/>
          <w:szCs w:val="22"/>
        </w:rPr>
        <w:noBreakHyphen/>
        <w:t>matter support.</w:t>
      </w:r>
    </w:p>
    <w:p w14:paraId="560A113C" w14:textId="77777777" w:rsidR="00FB191F" w:rsidRPr="00FB191F" w:rsidRDefault="00FB191F" w:rsidP="00FB191F">
      <w:pPr>
        <w:numPr>
          <w:ilvl w:val="0"/>
          <w:numId w:val="11"/>
        </w:numPr>
        <w:spacing w:after="0" w:line="240" w:lineRule="auto"/>
        <w:rPr>
          <w:rFonts w:ascii="Arial" w:hAnsi="Arial" w:cs="Arial"/>
          <w:sz w:val="22"/>
          <w:szCs w:val="22"/>
        </w:rPr>
      </w:pPr>
      <w:r w:rsidRPr="00FB191F">
        <w:rPr>
          <w:rFonts w:ascii="Arial" w:hAnsi="Arial" w:cs="Arial"/>
          <w:sz w:val="22"/>
          <w:szCs w:val="22"/>
        </w:rPr>
        <w:t>Access to relevant data, reports, and training will be provided.</w:t>
      </w:r>
    </w:p>
    <w:p w14:paraId="5B440648" w14:textId="77777777" w:rsidR="00FB191F" w:rsidRPr="00541952" w:rsidRDefault="00FB191F" w:rsidP="00FB191F">
      <w:pPr>
        <w:numPr>
          <w:ilvl w:val="0"/>
          <w:numId w:val="11"/>
        </w:numPr>
        <w:spacing w:after="0" w:line="240" w:lineRule="auto"/>
        <w:rPr>
          <w:rFonts w:ascii="Arial" w:hAnsi="Arial" w:cs="Arial"/>
          <w:sz w:val="22"/>
          <w:szCs w:val="22"/>
        </w:rPr>
      </w:pPr>
      <w:r w:rsidRPr="00FB191F">
        <w:rPr>
          <w:rFonts w:ascii="Arial" w:hAnsi="Arial" w:cs="Arial"/>
          <w:sz w:val="22"/>
          <w:szCs w:val="22"/>
        </w:rPr>
        <w:t>Reasonable adjustments will be available to support the Champion in performing the role.</w:t>
      </w:r>
    </w:p>
    <w:p w14:paraId="4B71B5FF" w14:textId="77777777" w:rsidR="00BA25D9" w:rsidRPr="00FB191F" w:rsidRDefault="00BA25D9" w:rsidP="00BA25D9">
      <w:pPr>
        <w:spacing w:after="0" w:line="240" w:lineRule="auto"/>
        <w:ind w:left="720"/>
        <w:rPr>
          <w:rFonts w:ascii="Arial" w:hAnsi="Arial" w:cs="Arial"/>
          <w:sz w:val="22"/>
          <w:szCs w:val="22"/>
        </w:rPr>
      </w:pPr>
    </w:p>
    <w:sectPr w:rsidR="00BA25D9" w:rsidRPr="00FB191F" w:rsidSect="00FB191F">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1F43"/>
    <w:multiLevelType w:val="hybridMultilevel"/>
    <w:tmpl w:val="8AF2FB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C15E50"/>
    <w:multiLevelType w:val="multilevel"/>
    <w:tmpl w:val="C98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A3924"/>
    <w:multiLevelType w:val="multilevel"/>
    <w:tmpl w:val="B1DE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3465E"/>
    <w:multiLevelType w:val="multilevel"/>
    <w:tmpl w:val="A2D0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27F23"/>
    <w:multiLevelType w:val="multilevel"/>
    <w:tmpl w:val="6728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F173A"/>
    <w:multiLevelType w:val="multilevel"/>
    <w:tmpl w:val="842C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D31C2"/>
    <w:multiLevelType w:val="multilevel"/>
    <w:tmpl w:val="4A5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B3650"/>
    <w:multiLevelType w:val="multilevel"/>
    <w:tmpl w:val="BF4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B0D2B"/>
    <w:multiLevelType w:val="multilevel"/>
    <w:tmpl w:val="9BF8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B6583"/>
    <w:multiLevelType w:val="multilevel"/>
    <w:tmpl w:val="FEDCF39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D09AB"/>
    <w:multiLevelType w:val="multilevel"/>
    <w:tmpl w:val="3EA2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06FC7"/>
    <w:multiLevelType w:val="multilevel"/>
    <w:tmpl w:val="CEBA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938330">
    <w:abstractNumId w:val="6"/>
  </w:num>
  <w:num w:numId="2" w16cid:durableId="1013848039">
    <w:abstractNumId w:val="1"/>
  </w:num>
  <w:num w:numId="3" w16cid:durableId="1417826775">
    <w:abstractNumId w:val="3"/>
  </w:num>
  <w:num w:numId="4" w16cid:durableId="1071002673">
    <w:abstractNumId w:val="8"/>
  </w:num>
  <w:num w:numId="5" w16cid:durableId="1287616658">
    <w:abstractNumId w:val="10"/>
  </w:num>
  <w:num w:numId="6" w16cid:durableId="2015453367">
    <w:abstractNumId w:val="4"/>
  </w:num>
  <w:num w:numId="7" w16cid:durableId="1338732083">
    <w:abstractNumId w:val="2"/>
  </w:num>
  <w:num w:numId="8" w16cid:durableId="1217282555">
    <w:abstractNumId w:val="5"/>
  </w:num>
  <w:num w:numId="9" w16cid:durableId="1253003972">
    <w:abstractNumId w:val="9"/>
  </w:num>
  <w:num w:numId="10" w16cid:durableId="267977056">
    <w:abstractNumId w:val="11"/>
  </w:num>
  <w:num w:numId="11" w16cid:durableId="1992518169">
    <w:abstractNumId w:val="7"/>
  </w:num>
  <w:num w:numId="12" w16cid:durableId="106295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1F"/>
    <w:rsid w:val="00093AB3"/>
    <w:rsid w:val="00113BBE"/>
    <w:rsid w:val="00541952"/>
    <w:rsid w:val="00B6273B"/>
    <w:rsid w:val="00BA25D9"/>
    <w:rsid w:val="00C32911"/>
    <w:rsid w:val="00CF37C0"/>
    <w:rsid w:val="00FB1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C000"/>
  <w15:chartTrackingRefBased/>
  <w15:docId w15:val="{465262B9-D70C-4FCF-9A86-6195A4CD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91F"/>
    <w:rPr>
      <w:rFonts w:eastAsiaTheme="majorEastAsia" w:cstheme="majorBidi"/>
      <w:color w:val="272727" w:themeColor="text1" w:themeTint="D8"/>
    </w:rPr>
  </w:style>
  <w:style w:type="paragraph" w:styleId="Title">
    <w:name w:val="Title"/>
    <w:basedOn w:val="Normal"/>
    <w:next w:val="Normal"/>
    <w:link w:val="TitleChar"/>
    <w:uiPriority w:val="10"/>
    <w:qFormat/>
    <w:rsid w:val="00FB1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91F"/>
    <w:pPr>
      <w:spacing w:before="160"/>
      <w:jc w:val="center"/>
    </w:pPr>
    <w:rPr>
      <w:i/>
      <w:iCs/>
      <w:color w:val="404040" w:themeColor="text1" w:themeTint="BF"/>
    </w:rPr>
  </w:style>
  <w:style w:type="character" w:customStyle="1" w:styleId="QuoteChar">
    <w:name w:val="Quote Char"/>
    <w:basedOn w:val="DefaultParagraphFont"/>
    <w:link w:val="Quote"/>
    <w:uiPriority w:val="29"/>
    <w:rsid w:val="00FB191F"/>
    <w:rPr>
      <w:i/>
      <w:iCs/>
      <w:color w:val="404040" w:themeColor="text1" w:themeTint="BF"/>
    </w:rPr>
  </w:style>
  <w:style w:type="paragraph" w:styleId="ListParagraph">
    <w:name w:val="List Paragraph"/>
    <w:basedOn w:val="Normal"/>
    <w:uiPriority w:val="34"/>
    <w:qFormat/>
    <w:rsid w:val="00FB191F"/>
    <w:pPr>
      <w:ind w:left="720"/>
      <w:contextualSpacing/>
    </w:pPr>
  </w:style>
  <w:style w:type="character" w:styleId="IntenseEmphasis">
    <w:name w:val="Intense Emphasis"/>
    <w:basedOn w:val="DefaultParagraphFont"/>
    <w:uiPriority w:val="21"/>
    <w:qFormat/>
    <w:rsid w:val="00FB191F"/>
    <w:rPr>
      <w:i/>
      <w:iCs/>
      <w:color w:val="0F4761" w:themeColor="accent1" w:themeShade="BF"/>
    </w:rPr>
  </w:style>
  <w:style w:type="paragraph" w:styleId="IntenseQuote">
    <w:name w:val="Intense Quote"/>
    <w:basedOn w:val="Normal"/>
    <w:next w:val="Normal"/>
    <w:link w:val="IntenseQuoteChar"/>
    <w:uiPriority w:val="30"/>
    <w:qFormat/>
    <w:rsid w:val="00FB1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91F"/>
    <w:rPr>
      <w:i/>
      <w:iCs/>
      <w:color w:val="0F4761" w:themeColor="accent1" w:themeShade="BF"/>
    </w:rPr>
  </w:style>
  <w:style w:type="character" w:styleId="IntenseReference">
    <w:name w:val="Intense Reference"/>
    <w:basedOn w:val="DefaultParagraphFont"/>
    <w:uiPriority w:val="32"/>
    <w:qFormat/>
    <w:rsid w:val="00FB1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493</Words>
  <Characters>3427</Characters>
  <Application>Microsoft Office Word</Application>
  <DocSecurity>0</DocSecurity>
  <Lines>74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Bagley</dc:creator>
  <cp:keywords/>
  <dc:description/>
  <cp:lastModifiedBy>Marita Bagley</cp:lastModifiedBy>
  <cp:revision>2</cp:revision>
  <dcterms:created xsi:type="dcterms:W3CDTF">2025-12-15T11:14:00Z</dcterms:created>
  <dcterms:modified xsi:type="dcterms:W3CDTF">2025-12-15T11:49:00Z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620eb1-d4d0-4373-8269-8a94871e6daa_Enabled">
    <vt:lpwstr>true</vt:lpwstr>
  </property>
  <property fmtid="{D5CDD505-2E9C-101B-9397-08002B2CF9AE}" pid="3" name="MSIP_Label_9e620eb1-d4d0-4373-8269-8a94871e6daa_SetDate">
    <vt:lpwstr>2025-12-15T11:17:11Z</vt:lpwstr>
  </property>
  <property fmtid="{D5CDD505-2E9C-101B-9397-08002B2CF9AE}" pid="4" name="MSIP_Label_9e620eb1-d4d0-4373-8269-8a94871e6daa_Method">
    <vt:lpwstr>Privileged</vt:lpwstr>
  </property>
  <property fmtid="{D5CDD505-2E9C-101B-9397-08002B2CF9AE}" pid="5" name="MSIP_Label_9e620eb1-d4d0-4373-8269-8a94871e6daa_Name">
    <vt:lpwstr>Official</vt:lpwstr>
  </property>
  <property fmtid="{D5CDD505-2E9C-101B-9397-08002B2CF9AE}" pid="6" name="MSIP_Label_9e620eb1-d4d0-4373-8269-8a94871e6daa_SiteId">
    <vt:lpwstr>5de9dbbe-23d7-4244-9903-be7d69b28a07</vt:lpwstr>
  </property>
  <property fmtid="{D5CDD505-2E9C-101B-9397-08002B2CF9AE}" pid="7" name="MSIP_Label_9e620eb1-d4d0-4373-8269-8a94871e6daa_ActionId">
    <vt:lpwstr>df7dbf3c-c361-4d8c-b13a-8a1f46ca4d61</vt:lpwstr>
  </property>
  <property fmtid="{D5CDD505-2E9C-101B-9397-08002B2CF9AE}" pid="8" name="MSIP_Label_9e620eb1-d4d0-4373-8269-8a94871e6daa_ContentBits">
    <vt:lpwstr>0</vt:lpwstr>
  </property>
  <property fmtid="{D5CDD505-2E9C-101B-9397-08002B2CF9AE}" pid="9" name="MSIP_Label_9e620eb1-d4d0-4373-8269-8a94871e6daa_Tag">
    <vt:lpwstr>10, 0, 1, 1</vt:lpwstr>
  </property>
</Properties>
</file>